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0AB" w:rsidRPr="00330629" w:rsidRDefault="007710AB" w:rsidP="00330629">
      <w:pPr>
        <w:spacing w:before="0" w:after="160" w:line="259" w:lineRule="auto"/>
        <w:jc w:val="left"/>
        <w:rPr>
          <w:rFonts w:cs="Tahoma"/>
          <w:b/>
        </w:rPr>
      </w:pPr>
      <w:bookmarkStart w:id="0" w:name="_Toc469944458"/>
    </w:p>
    <w:p w:rsidR="007710AB" w:rsidRDefault="00000000" w:rsidP="00330629">
      <w:pPr>
        <w:pStyle w:val="Heading1"/>
        <w:keepLines w:val="0"/>
        <w:spacing w:before="80"/>
        <w:rPr>
          <w:rFonts w:ascii="Tahoma" w:eastAsia="Perpetua" w:hAnsi="Tahoma" w:cs="Tahoma"/>
          <w:b/>
          <w:color w:val="auto"/>
          <w:sz w:val="24"/>
          <w:szCs w:val="32"/>
          <w:u w:val="single"/>
          <w:lang w:eastAsia="en-US"/>
        </w:rPr>
      </w:pPr>
      <w:bookmarkStart w:id="1" w:name="_Toc3768"/>
      <w:r>
        <w:rPr>
          <w:rFonts w:ascii="Tahoma" w:eastAsia="Perpetua" w:hAnsi="Tahoma" w:cs="Tahoma"/>
          <w:b/>
          <w:color w:val="auto"/>
          <w:sz w:val="24"/>
          <w:szCs w:val="32"/>
          <w:u w:val="single"/>
          <w:lang w:eastAsia="en-US"/>
        </w:rPr>
        <w:t>Ε</w:t>
      </w:r>
      <w:bookmarkEnd w:id="1"/>
      <w:r>
        <w:rPr>
          <w:rFonts w:ascii="Tahoma" w:eastAsia="Perpetua" w:hAnsi="Tahoma" w:cs="Tahoma"/>
          <w:b/>
          <w:color w:val="auto"/>
          <w:sz w:val="24"/>
          <w:szCs w:val="32"/>
          <w:u w:val="single"/>
          <w:lang w:eastAsia="en-US"/>
        </w:rPr>
        <w:t>ΙΣΑΓΩΓΙΚΑ</w:t>
      </w:r>
    </w:p>
    <w:p w:rsidR="007710AB" w:rsidRDefault="007710AB">
      <w:pPr>
        <w:spacing w:before="0" w:after="0" w:line="360" w:lineRule="auto"/>
        <w:jc w:val="left"/>
      </w:pPr>
    </w:p>
    <w:p w:rsidR="007710AB" w:rsidRDefault="00330629" w:rsidP="00330629">
      <w:pPr>
        <w:pStyle w:val="11"/>
        <w:keepNext/>
        <w:spacing w:line="360" w:lineRule="auto"/>
        <w:jc w:val="left"/>
        <w:rPr>
          <w:rFonts w:ascii="Tahoma" w:hAnsi="Tahoma" w:cs="Tahoma"/>
          <w:color w:val="000000"/>
          <w:sz w:val="22"/>
          <w:szCs w:val="22"/>
        </w:rPr>
      </w:pPr>
      <w:r>
        <w:rPr>
          <w:rFonts w:ascii="Tahoma" w:hAnsi="Tahoma" w:cs="Tahoma"/>
          <w:color w:val="000000"/>
          <w:sz w:val="22"/>
          <w:szCs w:val="22"/>
        </w:rPr>
        <w:t>Οι φορείς του Δημοσίου</w:t>
      </w:r>
      <w:r w:rsidR="00000000">
        <w:rPr>
          <w:rFonts w:ascii="Tahoma" w:hAnsi="Tahoma" w:cs="Tahoma"/>
          <w:color w:val="000000"/>
          <w:sz w:val="22"/>
          <w:szCs w:val="22"/>
        </w:rPr>
        <w:t xml:space="preserve">, έχοντας ως σκοπό την ανάπτυξη ενός πλαισίου διαχείρισης κινδύνων ως δομικού στοιχείου του ΣΕΕ, τη διασφάλιση της αποτελεσματικής λειτουργίας των υπηρεσιών του, τη συμμόρφωση με τη κείμενη νομοθεσία και την πρόληψη ενδεχόμενων επιπτώσεων με αρνητικό αντίκτυπο, </w:t>
      </w:r>
      <w:r w:rsidR="00121F92">
        <w:rPr>
          <w:rFonts w:ascii="Tahoma" w:hAnsi="Tahoma" w:cs="Tahoma"/>
          <w:color w:val="000000"/>
          <w:sz w:val="22"/>
          <w:szCs w:val="22"/>
        </w:rPr>
        <w:t xml:space="preserve">οφείλουν να </w:t>
      </w:r>
      <w:r w:rsidR="00000000">
        <w:rPr>
          <w:rFonts w:ascii="Tahoma" w:hAnsi="Tahoma" w:cs="Tahoma"/>
          <w:color w:val="000000"/>
          <w:sz w:val="22"/>
          <w:szCs w:val="22"/>
        </w:rPr>
        <w:t>προβαίν</w:t>
      </w:r>
      <w:r>
        <w:rPr>
          <w:rFonts w:ascii="Tahoma" w:hAnsi="Tahoma" w:cs="Tahoma"/>
          <w:color w:val="000000"/>
          <w:sz w:val="22"/>
          <w:szCs w:val="22"/>
        </w:rPr>
        <w:t>ουν</w:t>
      </w:r>
      <w:r w:rsidR="00000000">
        <w:rPr>
          <w:rFonts w:ascii="Tahoma" w:hAnsi="Tahoma" w:cs="Tahoma"/>
          <w:color w:val="000000"/>
          <w:sz w:val="22"/>
          <w:szCs w:val="22"/>
        </w:rPr>
        <w:t xml:space="preserve"> στην ανάθεση σε εξωτερικό συνεργάτη για την παροχή συμβουλευτικών υπηρεσιών σχετικά με το αντικείμενο της διαχείρισης κινδύνων βάσει των διατάξεων του ν.5013/23. </w:t>
      </w:r>
      <w:r w:rsidR="00121F92">
        <w:rPr>
          <w:rFonts w:ascii="Tahoma" w:hAnsi="Tahoma" w:cs="Tahoma"/>
          <w:color w:val="000000"/>
          <w:sz w:val="22"/>
          <w:szCs w:val="22"/>
        </w:rPr>
        <w:t>Ό</w:t>
      </w:r>
      <w:r w:rsidR="00000000">
        <w:rPr>
          <w:rFonts w:ascii="Tahoma" w:hAnsi="Tahoma" w:cs="Tahoma"/>
          <w:color w:val="000000"/>
          <w:sz w:val="22"/>
          <w:szCs w:val="22"/>
        </w:rPr>
        <w:t xml:space="preserve">πως ορίζεται στο άρθρο 18 του Ν.5013/23 </w:t>
      </w:r>
      <w:r w:rsidR="00121F92">
        <w:rPr>
          <w:rFonts w:ascii="Tahoma" w:hAnsi="Tahoma" w:cs="Tahoma"/>
          <w:color w:val="000000"/>
          <w:sz w:val="22"/>
          <w:szCs w:val="22"/>
        </w:rPr>
        <w:t xml:space="preserve">είναι απαραίτητη </w:t>
      </w:r>
      <w:r w:rsidR="00000000">
        <w:rPr>
          <w:rFonts w:ascii="Tahoma" w:hAnsi="Tahoma" w:cs="Tahoma"/>
          <w:color w:val="000000"/>
          <w:sz w:val="22"/>
          <w:szCs w:val="22"/>
        </w:rPr>
        <w:t xml:space="preserve">η ανάπτυξη </w:t>
      </w:r>
      <w:r w:rsidR="00121F92">
        <w:rPr>
          <w:rFonts w:ascii="Tahoma" w:hAnsi="Tahoma" w:cs="Tahoma"/>
          <w:color w:val="000000"/>
          <w:sz w:val="22"/>
          <w:szCs w:val="22"/>
        </w:rPr>
        <w:t xml:space="preserve">ενός </w:t>
      </w:r>
      <w:r w:rsidR="00000000">
        <w:rPr>
          <w:rFonts w:ascii="Tahoma" w:hAnsi="Tahoma" w:cs="Tahoma"/>
          <w:color w:val="000000"/>
          <w:sz w:val="22"/>
          <w:szCs w:val="22"/>
        </w:rPr>
        <w:t>πλαισίου διαχείρισης κινδύνων ως δομικού στοιχείου του Συστήματος λειτουργίας των φορέων του άρθρου 2 του ν.4795/2021 (Α΄62).</w:t>
      </w:r>
    </w:p>
    <w:p w:rsidR="007710AB" w:rsidRDefault="007710AB">
      <w:pPr>
        <w:pStyle w:val="11"/>
        <w:keepNext/>
        <w:spacing w:line="360" w:lineRule="auto"/>
        <w:rPr>
          <w:rFonts w:ascii="Tahoma" w:hAnsi="Tahoma" w:cs="Tahoma"/>
          <w:color w:val="000000"/>
          <w:sz w:val="22"/>
          <w:szCs w:val="22"/>
        </w:rPr>
      </w:pPr>
    </w:p>
    <w:p w:rsidR="007710AB" w:rsidRDefault="00000000" w:rsidP="00330629">
      <w:pPr>
        <w:pStyle w:val="Heading1"/>
        <w:keepLines w:val="0"/>
        <w:spacing w:before="80"/>
        <w:rPr>
          <w:rFonts w:ascii="Tahoma" w:eastAsia="Perpetua" w:hAnsi="Tahoma" w:cs="Tahoma"/>
          <w:b/>
          <w:color w:val="auto"/>
          <w:sz w:val="24"/>
          <w:szCs w:val="32"/>
          <w:u w:val="single"/>
          <w:lang w:eastAsia="en-US"/>
        </w:rPr>
      </w:pPr>
      <w:bookmarkStart w:id="2" w:name="_Toc20797"/>
      <w:r>
        <w:rPr>
          <w:rFonts w:ascii="Tahoma" w:eastAsia="Perpetua" w:hAnsi="Tahoma" w:cs="Tahoma"/>
          <w:b/>
          <w:color w:val="auto"/>
          <w:sz w:val="24"/>
          <w:szCs w:val="32"/>
          <w:u w:val="single"/>
          <w:lang w:eastAsia="en-US"/>
        </w:rPr>
        <w:t>ΝΟΜΟΘΕΤΙΚΟ ΠΛΑΙΣΙΟ ΑΝΑΘΕΣΗΣ ΤΩΝ ΠΑΡΕΧΟΜΕΝΩΝ ΥΠΗΡΕΣΙΩΝ</w:t>
      </w:r>
      <w:bookmarkEnd w:id="2"/>
    </w:p>
    <w:p w:rsidR="00330629" w:rsidRPr="00330629" w:rsidRDefault="00330629" w:rsidP="00330629">
      <w:pPr>
        <w:rPr>
          <w:lang w:eastAsia="en-US"/>
        </w:rPr>
      </w:pPr>
    </w:p>
    <w:p w:rsidR="007710AB" w:rsidRDefault="00000000" w:rsidP="00330629">
      <w:pPr>
        <w:jc w:val="left"/>
        <w:rPr>
          <w:rFonts w:cs="Tahoma"/>
          <w:sz w:val="22"/>
          <w:szCs w:val="22"/>
        </w:rPr>
      </w:pPr>
      <w:r>
        <w:rPr>
          <w:rFonts w:cs="Tahoma"/>
          <w:sz w:val="22"/>
          <w:szCs w:val="22"/>
        </w:rPr>
        <w:t xml:space="preserve">Η ανάθεση των υπηρεσιών της </w:t>
      </w:r>
      <w:r w:rsidR="00121F92">
        <w:rPr>
          <w:rFonts w:cs="Tahoma"/>
          <w:sz w:val="22"/>
          <w:szCs w:val="22"/>
        </w:rPr>
        <w:t>διαχείρισης κινδύνων στην εταιρεία μας</w:t>
      </w:r>
      <w:r>
        <w:rPr>
          <w:rFonts w:cs="Tahoma"/>
          <w:sz w:val="22"/>
          <w:szCs w:val="22"/>
        </w:rPr>
        <w:t xml:space="preserve"> διέπεται από:</w:t>
      </w:r>
    </w:p>
    <w:p w:rsidR="007710AB" w:rsidRDefault="00000000" w:rsidP="00330629">
      <w:pPr>
        <w:pStyle w:val="ListParagraph"/>
        <w:numPr>
          <w:ilvl w:val="0"/>
          <w:numId w:val="2"/>
        </w:numPr>
        <w:ind w:left="426" w:hanging="357"/>
        <w:contextualSpacing w:val="0"/>
        <w:jc w:val="left"/>
        <w:rPr>
          <w:rFonts w:cs="Tahoma"/>
          <w:sz w:val="22"/>
          <w:szCs w:val="22"/>
        </w:rPr>
      </w:pPr>
      <w:r>
        <w:rPr>
          <w:rFonts w:cs="Tahoma"/>
          <w:sz w:val="22"/>
          <w:szCs w:val="22"/>
        </w:rPr>
        <w:t>Τις διατάξεις του ν.3852/2010 (ΦΕΚ 87/Α/07-06-2010) «Νέα Αρχιτεκτονική της Αυτοδιοίκησης και της Αποκεντρωμένης Διοίκησης − Πρόγραμμα Καλλικράτης».</w:t>
      </w:r>
    </w:p>
    <w:p w:rsidR="007710AB" w:rsidRDefault="00000000" w:rsidP="00330629">
      <w:pPr>
        <w:pStyle w:val="ListParagraph"/>
        <w:numPr>
          <w:ilvl w:val="0"/>
          <w:numId w:val="2"/>
        </w:numPr>
        <w:ind w:left="426" w:hanging="357"/>
        <w:contextualSpacing w:val="0"/>
        <w:jc w:val="left"/>
        <w:rPr>
          <w:rFonts w:cs="Tahoma"/>
          <w:sz w:val="22"/>
          <w:szCs w:val="22"/>
        </w:rPr>
      </w:pPr>
      <w:r>
        <w:rPr>
          <w:rFonts w:cs="Tahoma"/>
          <w:sz w:val="22"/>
          <w:szCs w:val="22"/>
        </w:rPr>
        <w:t>Τις διατάξεις του ν.4270/2014 (ΦΕΚ 143/Α/28-6-14): Αρχές δημοσιονομικής διαχείρισης και εποπτείας (εν</w:t>
      </w:r>
      <w:r>
        <w:rPr>
          <w:rFonts w:cs="Tahoma"/>
          <w:sz w:val="22"/>
          <w:szCs w:val="22"/>
        </w:rPr>
        <w:softHyphen/>
        <w:t>σωμάτωση της Οδηγίας 2011/85/ΕΕ) - περί εφαρμογής Εσωτερικού Ελέγχου.</w:t>
      </w:r>
    </w:p>
    <w:p w:rsidR="007710AB" w:rsidRDefault="00000000" w:rsidP="00330629">
      <w:pPr>
        <w:pStyle w:val="ListParagraph"/>
        <w:numPr>
          <w:ilvl w:val="0"/>
          <w:numId w:val="2"/>
        </w:numPr>
        <w:ind w:left="426" w:hanging="357"/>
        <w:contextualSpacing w:val="0"/>
        <w:jc w:val="left"/>
        <w:rPr>
          <w:rFonts w:cs="Tahoma"/>
          <w:sz w:val="22"/>
          <w:szCs w:val="22"/>
        </w:rPr>
      </w:pPr>
      <w:r>
        <w:rPr>
          <w:rFonts w:cs="Tahoma"/>
          <w:sz w:val="22"/>
          <w:szCs w:val="22"/>
        </w:rPr>
        <w:t xml:space="preserve">Τις διατάξεις του Π.Δ. 80/2016 (ΦΕΚ 145/Α/5-8-2016) «Ανάληψη υποχρεώσεων από τους </w:t>
      </w:r>
      <w:proofErr w:type="spellStart"/>
      <w:r>
        <w:rPr>
          <w:rFonts w:cs="Tahoma"/>
          <w:sz w:val="22"/>
          <w:szCs w:val="22"/>
        </w:rPr>
        <w:t>Διατάκτες</w:t>
      </w:r>
      <w:proofErr w:type="spellEnd"/>
      <w:r>
        <w:rPr>
          <w:rFonts w:cs="Tahoma"/>
          <w:sz w:val="22"/>
          <w:szCs w:val="22"/>
        </w:rPr>
        <w:t>»</w:t>
      </w:r>
    </w:p>
    <w:p w:rsidR="007710AB" w:rsidRDefault="00000000" w:rsidP="00330629">
      <w:pPr>
        <w:pStyle w:val="ListParagraph"/>
        <w:numPr>
          <w:ilvl w:val="0"/>
          <w:numId w:val="2"/>
        </w:numPr>
        <w:ind w:left="426" w:hanging="357"/>
        <w:contextualSpacing w:val="0"/>
        <w:jc w:val="left"/>
        <w:rPr>
          <w:rFonts w:cs="Tahoma"/>
          <w:sz w:val="22"/>
          <w:szCs w:val="22"/>
        </w:rPr>
      </w:pPr>
      <w:r>
        <w:rPr>
          <w:rFonts w:eastAsia="Calibri" w:cs="Tahoma"/>
          <w:sz w:val="22"/>
          <w:szCs w:val="22"/>
        </w:rPr>
        <w:t xml:space="preserve">Τις διατάξεις του Ν. 4782/2021 (ΦΕΚ 36/Α/9-3-2021)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όπως τροποποιήθηκε και ισχύει. </w:t>
      </w:r>
    </w:p>
    <w:p w:rsidR="007710AB" w:rsidRDefault="00000000" w:rsidP="00330629">
      <w:pPr>
        <w:pStyle w:val="ListParagraph"/>
        <w:numPr>
          <w:ilvl w:val="0"/>
          <w:numId w:val="2"/>
        </w:numPr>
        <w:ind w:left="426" w:hanging="357"/>
        <w:contextualSpacing w:val="0"/>
        <w:jc w:val="left"/>
        <w:rPr>
          <w:rFonts w:eastAsia="Calibri" w:cs="Tahoma"/>
          <w:sz w:val="22"/>
          <w:szCs w:val="22"/>
        </w:rPr>
      </w:pPr>
      <w:r>
        <w:rPr>
          <w:rFonts w:eastAsia="Calibri" w:cs="Tahoma"/>
          <w:sz w:val="22"/>
          <w:szCs w:val="22"/>
        </w:rPr>
        <w:t>Τις διατάξεις του ν.4412/2016 (ΦΕΚ Α' 147/08-08-2016) «Δημόσιες Συμβάσεις Έργων, Προμηθειών και Υπηρεσιών (προσαρμογή στις Οδηγίες 2014/24/ΕΕ και 2014/25/ΕΕ)», όπως τροποποιήθηκε και ισχύει.</w:t>
      </w:r>
    </w:p>
    <w:p w:rsidR="007710AB" w:rsidRDefault="00000000" w:rsidP="00330629">
      <w:pPr>
        <w:pStyle w:val="ListParagraph"/>
        <w:numPr>
          <w:ilvl w:val="0"/>
          <w:numId w:val="2"/>
        </w:numPr>
        <w:ind w:left="426" w:hanging="357"/>
        <w:contextualSpacing w:val="0"/>
        <w:jc w:val="left"/>
        <w:rPr>
          <w:rFonts w:eastAsia="Calibri" w:cs="Tahoma"/>
          <w:sz w:val="22"/>
          <w:szCs w:val="22"/>
        </w:rPr>
      </w:pPr>
      <w:r>
        <w:rPr>
          <w:rFonts w:eastAsia="Calibri" w:cs="Tahoma"/>
          <w:sz w:val="22"/>
          <w:szCs w:val="22"/>
        </w:rPr>
        <w:t>Σύμφωνα με το ν.5013/2023 «</w:t>
      </w:r>
      <w:proofErr w:type="spellStart"/>
      <w:r>
        <w:rPr>
          <w:rFonts w:eastAsia="Calibri" w:cs="Tahoma"/>
          <w:sz w:val="22"/>
          <w:szCs w:val="22"/>
        </w:rPr>
        <w:t>Πολυεπίπεδη</w:t>
      </w:r>
      <w:proofErr w:type="spellEnd"/>
      <w:r>
        <w:rPr>
          <w:rFonts w:eastAsia="Calibri" w:cs="Tahoma"/>
          <w:sz w:val="22"/>
          <w:szCs w:val="22"/>
        </w:rPr>
        <w:t xml:space="preserve"> διακυβέρνηση, διαχείριση κινδύνων στον δημόσιο τομέα και άλλες διατάξεις»</w:t>
      </w:r>
    </w:p>
    <w:p w:rsidR="007710AB" w:rsidRDefault="00000000" w:rsidP="00330629">
      <w:pPr>
        <w:pStyle w:val="ListParagraph"/>
        <w:numPr>
          <w:ilvl w:val="0"/>
          <w:numId w:val="2"/>
        </w:numPr>
        <w:ind w:left="426" w:hanging="357"/>
        <w:contextualSpacing w:val="0"/>
        <w:jc w:val="left"/>
        <w:rPr>
          <w:rFonts w:eastAsia="Calibri" w:cs="Tahoma"/>
          <w:sz w:val="22"/>
          <w:szCs w:val="22"/>
        </w:rPr>
      </w:pPr>
      <w:r>
        <w:rPr>
          <w:rFonts w:eastAsia="Calibri" w:cs="Tahoma"/>
          <w:sz w:val="22"/>
          <w:szCs w:val="22"/>
        </w:rPr>
        <w:t>Την ΚΥΑ ΓΓΑΔΔΤ 280/6210 (ΦΕΚ. Β΄2299/07.04.2023) “Πρόσθετες προϋποθέσεις, υποχρεώσεις και κωλύματα για την ανάθεση παροχής υπηρεσιών σε φυσικό ή νομικό πρόσωπο για την υποστήριξη των Οργάνων Διαχείρισης Κινδύνων, σύμφωνα με την παρ. 4 του άρθρου 22Γ και την παρ. 4 του άρθρου 22Η του </w:t>
      </w:r>
      <w:hyperlink r:id="rId7" w:tooltip="Ν. 4795/2021 (ΦΕΚ A 62 - 17.04.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w:history="1">
        <w:r w:rsidR="007710AB">
          <w:rPr>
            <w:rFonts w:eastAsia="Calibri" w:cs="Tahoma"/>
            <w:sz w:val="22"/>
            <w:szCs w:val="22"/>
          </w:rPr>
          <w:t>ν. 4795/2021</w:t>
        </w:r>
      </w:hyperlink>
      <w:r>
        <w:rPr>
          <w:rFonts w:eastAsia="Calibri" w:cs="Tahoma"/>
          <w:sz w:val="22"/>
          <w:szCs w:val="22"/>
        </w:rPr>
        <w:t>".</w:t>
      </w:r>
    </w:p>
    <w:p w:rsidR="00E958D8" w:rsidRDefault="00E958D8" w:rsidP="00330629">
      <w:pPr>
        <w:pStyle w:val="ListParagraph"/>
        <w:numPr>
          <w:ilvl w:val="0"/>
          <w:numId w:val="2"/>
        </w:numPr>
        <w:ind w:left="426" w:hanging="357"/>
        <w:contextualSpacing w:val="0"/>
        <w:jc w:val="left"/>
        <w:rPr>
          <w:rFonts w:eastAsia="Calibri" w:cs="Tahoma"/>
          <w:sz w:val="22"/>
          <w:szCs w:val="22"/>
        </w:rPr>
      </w:pPr>
      <w:r>
        <w:rPr>
          <w:rFonts w:eastAsia="Calibri" w:cs="Tahoma"/>
          <w:sz w:val="22"/>
          <w:szCs w:val="22"/>
        </w:rPr>
        <w:lastRenderedPageBreak/>
        <w:t xml:space="preserve">Την </w:t>
      </w:r>
      <w:proofErr w:type="spellStart"/>
      <w:r>
        <w:rPr>
          <w:rFonts w:eastAsia="Calibri" w:cs="Tahoma"/>
          <w:sz w:val="22"/>
          <w:szCs w:val="22"/>
        </w:rPr>
        <w:t>υπ.αριθμ</w:t>
      </w:r>
      <w:proofErr w:type="spellEnd"/>
      <w:r>
        <w:rPr>
          <w:rFonts w:eastAsia="Calibri" w:cs="Tahoma"/>
          <w:sz w:val="22"/>
          <w:szCs w:val="22"/>
        </w:rPr>
        <w:t>. 517 ΕΞ 2025 απόφαση «</w:t>
      </w:r>
      <w:r w:rsidRPr="00E958D8">
        <w:rPr>
          <w:rFonts w:eastAsia="Calibri" w:cs="Tahoma"/>
          <w:sz w:val="22"/>
          <w:szCs w:val="22"/>
        </w:rPr>
        <w:t xml:space="preserve">Καθορισμός πρότυπου Μητρώου Κινδύνων και παροχή οδηγιών σχετικά με τον τρόπο τήρησης και </w:t>
      </w:r>
      <w:proofErr w:type="spellStart"/>
      <w:r w:rsidRPr="00E958D8">
        <w:rPr>
          <w:rFonts w:eastAsia="Calibri" w:cs="Tahoma"/>
          <w:sz w:val="22"/>
          <w:szCs w:val="22"/>
        </w:rPr>
        <w:t>επικαιροποίησής</w:t>
      </w:r>
      <w:proofErr w:type="spellEnd"/>
      <w:r w:rsidRPr="00E958D8">
        <w:rPr>
          <w:rFonts w:eastAsia="Calibri" w:cs="Tahoma"/>
          <w:sz w:val="22"/>
          <w:szCs w:val="22"/>
        </w:rPr>
        <w:t xml:space="preserve"> του σύμφωνα με την παρ. 3 του άρθρου 22Η του ν. 4795/2021</w:t>
      </w:r>
      <w:r>
        <w:rPr>
          <w:rFonts w:eastAsia="Calibri" w:cs="Tahoma"/>
          <w:sz w:val="22"/>
          <w:szCs w:val="22"/>
        </w:rPr>
        <w:t>» (ΦΕΚ Β’ 5335/06.10.205)</w:t>
      </w:r>
      <w:r w:rsidR="00330629">
        <w:rPr>
          <w:rFonts w:eastAsia="Calibri" w:cs="Tahoma"/>
          <w:sz w:val="22"/>
          <w:szCs w:val="22"/>
        </w:rPr>
        <w:t>.</w:t>
      </w:r>
    </w:p>
    <w:p w:rsidR="007710AB" w:rsidRDefault="007710AB">
      <w:pPr>
        <w:autoSpaceDE w:val="0"/>
        <w:autoSpaceDN w:val="0"/>
        <w:adjustRightInd w:val="0"/>
        <w:spacing w:before="0" w:after="0" w:line="360" w:lineRule="auto"/>
        <w:rPr>
          <w:rFonts w:cs="Tahoma"/>
          <w:sz w:val="22"/>
          <w:szCs w:val="22"/>
        </w:rPr>
      </w:pP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 xml:space="preserve">Στο </w:t>
      </w:r>
      <w:r w:rsidR="00330629">
        <w:rPr>
          <w:rFonts w:cs="Tahoma"/>
          <w:sz w:val="22"/>
          <w:szCs w:val="22"/>
        </w:rPr>
        <w:t>ν.</w:t>
      </w:r>
      <w:r>
        <w:rPr>
          <w:rFonts w:cs="Tahoma"/>
          <w:sz w:val="22"/>
          <w:szCs w:val="22"/>
        </w:rPr>
        <w:t>4622/2019 περί επιτελικού κράτους (άρθρο 39), προβλέπεται η εγκατάσταση σε όλους τους δημόσιους εν γένει φορείς ενός ΣΕΕ για την αντιμετώπιση των κινδύνων που απειλούν την επίτευξη των επιχειρησιακών στόχων τους. Σύστημα Εσωτερικού Ελέγχου είναι το σύνολο των εσωτερικών ελεγκτικών μηχανισμών (δικλίδες ελέγχου) και διαδικασιών, συμπεριλαμβανομένης της λειτουργίας της διαχείρισης κινδύνων, του εσωτερικού ελέγχου και της κανονιστικής συμμόρφωσης, που καλύπτει σε συνεχή βάση κάθε δραστηριότητα του φορέα και συντελεί στην σύννομη και αποτελεσματική λειτουργία του.</w:t>
      </w:r>
    </w:p>
    <w:p w:rsidR="00121F92" w:rsidRDefault="00121F92" w:rsidP="00330629">
      <w:pPr>
        <w:autoSpaceDE w:val="0"/>
        <w:autoSpaceDN w:val="0"/>
        <w:adjustRightInd w:val="0"/>
        <w:spacing w:before="0" w:after="0" w:line="360" w:lineRule="auto"/>
        <w:jc w:val="left"/>
        <w:rPr>
          <w:rFonts w:cs="Tahoma"/>
          <w:sz w:val="22"/>
          <w:szCs w:val="22"/>
        </w:rPr>
      </w:pP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Σύμφωνα με την παρ. 1 του Άρθρου 20 ορίζεται ότι στο πλαίσιο του Συστήματος Εσωτερικού Ελέγχου, οι φορείς του άρθρου 2, υποχρεούνται να διαχειρίζονται τους κινδύνους που επηρεάζουν την υλοποίηση των στρατηγικών και επιχειρησιακών τους στόχων, καθώς και την αποδοτικότητα και αποτελεσματικότητά τους.</w:t>
      </w:r>
    </w:p>
    <w:p w:rsidR="00121F92" w:rsidRDefault="00121F92" w:rsidP="00330629">
      <w:pPr>
        <w:autoSpaceDE w:val="0"/>
        <w:autoSpaceDN w:val="0"/>
        <w:adjustRightInd w:val="0"/>
        <w:spacing w:before="0" w:after="0" w:line="360" w:lineRule="auto"/>
        <w:jc w:val="left"/>
        <w:rPr>
          <w:rFonts w:cs="Tahoma"/>
          <w:sz w:val="22"/>
          <w:szCs w:val="22"/>
        </w:rPr>
      </w:pP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Μέσα σε αυτό το πλαίσιο, η λειτουργία της διαχείρισης κινδύνων (</w:t>
      </w:r>
      <w:proofErr w:type="spellStart"/>
      <w:r>
        <w:rPr>
          <w:rFonts w:cs="Tahoma"/>
          <w:sz w:val="22"/>
          <w:szCs w:val="22"/>
        </w:rPr>
        <w:t>Risk</w:t>
      </w:r>
      <w:proofErr w:type="spellEnd"/>
      <w:r>
        <w:rPr>
          <w:rFonts w:cs="Tahoma"/>
          <w:sz w:val="22"/>
          <w:szCs w:val="22"/>
        </w:rPr>
        <w:t xml:space="preserve"> </w:t>
      </w:r>
      <w:proofErr w:type="spellStart"/>
      <w:r>
        <w:rPr>
          <w:rFonts w:cs="Tahoma"/>
          <w:sz w:val="22"/>
          <w:szCs w:val="22"/>
        </w:rPr>
        <w:t>Management</w:t>
      </w:r>
      <w:proofErr w:type="spellEnd"/>
      <w:r>
        <w:rPr>
          <w:rFonts w:cs="Tahoma"/>
          <w:sz w:val="22"/>
          <w:szCs w:val="22"/>
        </w:rPr>
        <w:t>) συμπεριλαμβάνει, την διαδικασία αναγνώρισης και αξιολόγησης των κινδύνων (</w:t>
      </w:r>
      <w:proofErr w:type="spellStart"/>
      <w:r>
        <w:rPr>
          <w:rFonts w:cs="Tahoma"/>
          <w:sz w:val="22"/>
          <w:szCs w:val="22"/>
        </w:rPr>
        <w:t>risk</w:t>
      </w:r>
      <w:proofErr w:type="spellEnd"/>
      <w:r>
        <w:rPr>
          <w:rFonts w:cs="Tahoma"/>
          <w:sz w:val="22"/>
          <w:szCs w:val="22"/>
        </w:rPr>
        <w:t xml:space="preserve"> </w:t>
      </w:r>
      <w:proofErr w:type="spellStart"/>
      <w:r>
        <w:rPr>
          <w:rFonts w:cs="Tahoma"/>
          <w:sz w:val="22"/>
          <w:szCs w:val="22"/>
        </w:rPr>
        <w:t>assessment</w:t>
      </w:r>
      <w:proofErr w:type="spellEnd"/>
      <w:r>
        <w:rPr>
          <w:rFonts w:cs="Tahoma"/>
          <w:sz w:val="22"/>
          <w:szCs w:val="22"/>
        </w:rPr>
        <w:t>), τις διαδικασίες διαχείρισης και απόκρισης του φορέα σε αυτούς (</w:t>
      </w:r>
      <w:proofErr w:type="spellStart"/>
      <w:r>
        <w:rPr>
          <w:rFonts w:cs="Tahoma"/>
          <w:sz w:val="22"/>
          <w:szCs w:val="22"/>
        </w:rPr>
        <w:t>risk</w:t>
      </w:r>
      <w:proofErr w:type="spellEnd"/>
      <w:r>
        <w:rPr>
          <w:rFonts w:cs="Tahoma"/>
          <w:sz w:val="22"/>
          <w:szCs w:val="22"/>
        </w:rPr>
        <w:t xml:space="preserve"> </w:t>
      </w:r>
      <w:proofErr w:type="spellStart"/>
      <w:r>
        <w:rPr>
          <w:rFonts w:cs="Tahoma"/>
          <w:sz w:val="22"/>
          <w:szCs w:val="22"/>
        </w:rPr>
        <w:t>response</w:t>
      </w:r>
      <w:proofErr w:type="spellEnd"/>
      <w:r>
        <w:rPr>
          <w:rFonts w:cs="Tahoma"/>
          <w:sz w:val="22"/>
          <w:szCs w:val="22"/>
        </w:rPr>
        <w:t>) και τις διαδικασίες παρακολούθησης της εξέλιξης των κινδύνων (</w:t>
      </w:r>
      <w:proofErr w:type="spellStart"/>
      <w:r>
        <w:rPr>
          <w:rFonts w:cs="Tahoma"/>
          <w:sz w:val="22"/>
          <w:szCs w:val="22"/>
        </w:rPr>
        <w:t>risk</w:t>
      </w:r>
      <w:proofErr w:type="spellEnd"/>
      <w:r>
        <w:rPr>
          <w:rFonts w:cs="Tahoma"/>
          <w:sz w:val="22"/>
          <w:szCs w:val="22"/>
        </w:rPr>
        <w:t xml:space="preserve"> </w:t>
      </w:r>
      <w:proofErr w:type="spellStart"/>
      <w:r>
        <w:rPr>
          <w:rFonts w:cs="Tahoma"/>
          <w:sz w:val="22"/>
          <w:szCs w:val="22"/>
        </w:rPr>
        <w:t>monitoring</w:t>
      </w:r>
      <w:proofErr w:type="spellEnd"/>
      <w:r>
        <w:rPr>
          <w:rFonts w:cs="Tahoma"/>
          <w:sz w:val="22"/>
          <w:szCs w:val="22"/>
        </w:rPr>
        <w:t>). Επίσης, αναφέρεται και στην τήρηση κατάλληλων και αποτελεσματικών πολιτικών, διαδικασιών και εργαλείων (όπως για παράδειγμα η τήρηση μητρώου κινδύνου – “</w:t>
      </w:r>
      <w:proofErr w:type="spellStart"/>
      <w:r>
        <w:rPr>
          <w:rFonts w:cs="Tahoma"/>
          <w:sz w:val="22"/>
          <w:szCs w:val="22"/>
        </w:rPr>
        <w:t>risk</w:t>
      </w:r>
      <w:proofErr w:type="spellEnd"/>
      <w:r>
        <w:rPr>
          <w:rFonts w:cs="Tahoma"/>
          <w:sz w:val="22"/>
          <w:szCs w:val="22"/>
        </w:rPr>
        <w:t xml:space="preserve"> </w:t>
      </w:r>
      <w:proofErr w:type="spellStart"/>
      <w:r>
        <w:rPr>
          <w:rFonts w:cs="Tahoma"/>
          <w:sz w:val="22"/>
          <w:szCs w:val="22"/>
        </w:rPr>
        <w:t>register</w:t>
      </w:r>
      <w:proofErr w:type="spellEnd"/>
      <w:r>
        <w:rPr>
          <w:rFonts w:cs="Tahoma"/>
          <w:sz w:val="22"/>
          <w:szCs w:val="22"/>
        </w:rPr>
        <w:t>”) προσδιορισμού, ανάλυσης, ελέγχου, διαχείρισης και παρακολούθησης κάθε μορφής κινδύνου που ενέχει η λειτουργία του φορέα.</w:t>
      </w:r>
    </w:p>
    <w:p w:rsidR="00121F92" w:rsidRDefault="00121F92" w:rsidP="00330629">
      <w:pPr>
        <w:autoSpaceDE w:val="0"/>
        <w:autoSpaceDN w:val="0"/>
        <w:adjustRightInd w:val="0"/>
        <w:spacing w:before="0" w:after="0" w:line="360" w:lineRule="auto"/>
        <w:jc w:val="left"/>
        <w:rPr>
          <w:rFonts w:cs="Tahoma"/>
          <w:sz w:val="22"/>
          <w:szCs w:val="22"/>
        </w:rPr>
      </w:pP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 xml:space="preserve">Η διαχείριση κινδύνου προστατεύει και προσθέτει αξία στον φορέα υποστηρίζοντας τους στόχους του με: </w:t>
      </w: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 την παροχή ενός πλαισίου που καθιστά δυνατό, η μελλοντική δραστηριότητα του φορέα να λαμβάνει χώρα με ένα σταθερό και ελεγχόμενο τρόπο.</w:t>
      </w: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 τη βελτίωση της λήψης αποφάσεων, του προγραμματισμού και του καθορισμού προτεραιότητας μέσω της ευρείας και δομημένης κατανόησης της επιχειρησιακής δραστηριότητας, της αστάθειας και των ευκαιριών / απειλών των έργων.</w:t>
      </w: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 xml:space="preserve">• την συμβολή σε μία πιο αποδοτική χρήση/κατανομή των ανθρώπινων και υλικών πόρων εντός του φορέα. </w:t>
      </w: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lastRenderedPageBreak/>
        <w:t>• τη βελτιστοποίηση της λειτουργικής αποδοτικότητας του φορέα.</w:t>
      </w:r>
    </w:p>
    <w:p w:rsidR="00121F92" w:rsidRDefault="00121F92" w:rsidP="00330629">
      <w:pPr>
        <w:autoSpaceDE w:val="0"/>
        <w:autoSpaceDN w:val="0"/>
        <w:adjustRightInd w:val="0"/>
        <w:spacing w:before="0" w:after="0" w:line="360" w:lineRule="auto"/>
        <w:jc w:val="left"/>
        <w:rPr>
          <w:rFonts w:cs="Tahoma"/>
          <w:sz w:val="22"/>
          <w:szCs w:val="22"/>
        </w:rPr>
      </w:pPr>
    </w:p>
    <w:p w:rsidR="007710AB" w:rsidRDefault="00000000" w:rsidP="00330629">
      <w:pPr>
        <w:autoSpaceDE w:val="0"/>
        <w:autoSpaceDN w:val="0"/>
        <w:adjustRightInd w:val="0"/>
        <w:spacing w:before="0" w:after="0" w:line="360" w:lineRule="auto"/>
        <w:jc w:val="left"/>
        <w:rPr>
          <w:rFonts w:cs="Tahoma"/>
          <w:sz w:val="22"/>
          <w:szCs w:val="22"/>
        </w:rPr>
      </w:pPr>
      <w:r>
        <w:rPr>
          <w:rFonts w:cs="Tahoma"/>
          <w:sz w:val="22"/>
          <w:szCs w:val="22"/>
        </w:rPr>
        <w:t xml:space="preserve">Το σύστημα εσωτερικού ελέγχου αποβλέπει στην ελαχιστοποίηση των κινδύνων με τη χρήση των κατάλληλων δικλίδων, οι οποίες επιλέγονται έπειτα από εκτίμηση της σοβαρότητας του κινδύνου, της πιθανότητας επέλευσής του και της κόστους που συνεπάγεται η κινητοποίηση των μέσων αντιμετώπισής του. </w:t>
      </w:r>
    </w:p>
    <w:p w:rsidR="007710AB" w:rsidRDefault="00000000" w:rsidP="00330629">
      <w:pPr>
        <w:pStyle w:val="NormalWeb"/>
        <w:spacing w:before="0" w:after="0" w:line="360" w:lineRule="auto"/>
        <w:jc w:val="left"/>
        <w:rPr>
          <w:rFonts w:cs="Tahoma"/>
          <w:color w:val="000000" w:themeColor="text1"/>
          <w:kern w:val="24"/>
          <w:sz w:val="22"/>
          <w:szCs w:val="22"/>
        </w:rPr>
      </w:pPr>
      <w:r>
        <w:rPr>
          <w:rFonts w:cs="Tahoma"/>
          <w:color w:val="000000" w:themeColor="text1"/>
          <w:kern w:val="24"/>
          <w:sz w:val="22"/>
          <w:szCs w:val="22"/>
        </w:rPr>
        <w:t>Σύμφωνα με το πρόσφατο νομοθετικό πλαίσιο</w:t>
      </w:r>
      <w:r>
        <w:rPr>
          <w:rFonts w:cs="Tahoma"/>
          <w:b/>
          <w:bCs/>
          <w:color w:val="000000" w:themeColor="text1"/>
          <w:kern w:val="24"/>
          <w:sz w:val="22"/>
          <w:szCs w:val="22"/>
        </w:rPr>
        <w:t xml:space="preserve"> </w:t>
      </w:r>
      <w:r>
        <w:rPr>
          <w:rFonts w:cs="Tahoma"/>
          <w:b/>
          <w:bCs/>
          <w:i/>
          <w:iCs/>
          <w:color w:val="000000" w:themeColor="text1"/>
          <w:kern w:val="24"/>
          <w:sz w:val="22"/>
          <w:szCs w:val="22"/>
        </w:rPr>
        <w:t xml:space="preserve">«NOMOΣ ΥΠ’ ΑΡΙΘΜ. 5013/2023 (ΜΕΡΟΣ Β΄ΔΙΑΧΕΙΡΙΣΗ ΚΙΝΔΥΝΩΝ - ΠΡΟΣΘΗΚΗ ΚΕΦΑΛΑΙΟΥ Ζ΄ΣΤΟ ΜΕΡΟΣ Α΄ ΤΟΥ Ν. 4795/2021)», </w:t>
      </w:r>
      <w:r>
        <w:rPr>
          <w:rFonts w:cs="Tahoma"/>
          <w:color w:val="000000" w:themeColor="text1"/>
          <w:kern w:val="24"/>
          <w:sz w:val="22"/>
          <w:szCs w:val="22"/>
        </w:rPr>
        <w:t xml:space="preserve">οι δημόσιοι φορείς, οφείλουν να </w:t>
      </w:r>
      <w:r>
        <w:rPr>
          <w:rFonts w:cs="Tahoma"/>
          <w:sz w:val="22"/>
          <w:szCs w:val="22"/>
          <w:lang w:eastAsia="zh-CN"/>
        </w:rPr>
        <w:t>αναπτύξουν και να λειτουργήσουν Μονάδα Διαχείρισης Κινδύνων</w:t>
      </w:r>
      <w:r>
        <w:rPr>
          <w:rFonts w:cs="Tahoma"/>
          <w:color w:val="000000" w:themeColor="text1"/>
          <w:kern w:val="24"/>
          <w:sz w:val="22"/>
          <w:szCs w:val="22"/>
        </w:rPr>
        <w:t xml:space="preserve"> καθώς επίσης και πλαίσιο και διαδικασίες διαχείρισης κινδύνων.</w:t>
      </w:r>
    </w:p>
    <w:p w:rsidR="00E2586D" w:rsidRPr="00330629" w:rsidRDefault="00F603F0" w:rsidP="00330629">
      <w:pPr>
        <w:autoSpaceDE w:val="0"/>
        <w:autoSpaceDN w:val="0"/>
        <w:adjustRightInd w:val="0"/>
        <w:spacing w:before="0" w:after="0" w:line="360" w:lineRule="auto"/>
        <w:jc w:val="left"/>
        <w:rPr>
          <w:rFonts w:cs="Tahoma"/>
          <w:sz w:val="22"/>
          <w:szCs w:val="22"/>
        </w:rPr>
      </w:pPr>
      <w:r>
        <w:rPr>
          <w:rFonts w:cs="Tahoma"/>
          <w:sz w:val="22"/>
          <w:szCs w:val="22"/>
        </w:rPr>
        <w:t>Β</w:t>
      </w:r>
      <w:r w:rsidR="00E2586D" w:rsidRPr="00330629">
        <w:rPr>
          <w:rFonts w:cs="Tahoma"/>
          <w:sz w:val="22"/>
          <w:szCs w:val="22"/>
        </w:rPr>
        <w:t xml:space="preserve">άσει των διατάξεων της </w:t>
      </w:r>
      <w:proofErr w:type="spellStart"/>
      <w:r w:rsidR="00E2586D" w:rsidRPr="00330629">
        <w:rPr>
          <w:rFonts w:cs="Tahoma"/>
          <w:sz w:val="22"/>
          <w:szCs w:val="22"/>
        </w:rPr>
        <w:t>υπ.αριθμ</w:t>
      </w:r>
      <w:proofErr w:type="spellEnd"/>
      <w:r w:rsidR="00E2586D" w:rsidRPr="00330629">
        <w:rPr>
          <w:rFonts w:cs="Tahoma"/>
          <w:sz w:val="22"/>
          <w:szCs w:val="22"/>
        </w:rPr>
        <w:t xml:space="preserve">. 517 ΕΞ 2025 απόφαση «Καθορισμός πρότυπου Μητρώου Κινδύνων και παροχή οδηγιών σχετικά με τον τρόπο τήρησης και </w:t>
      </w:r>
      <w:proofErr w:type="spellStart"/>
      <w:r w:rsidR="00E2586D" w:rsidRPr="00330629">
        <w:rPr>
          <w:rFonts w:cs="Tahoma"/>
          <w:sz w:val="22"/>
          <w:szCs w:val="22"/>
        </w:rPr>
        <w:t>επικαιροποίησής</w:t>
      </w:r>
      <w:proofErr w:type="spellEnd"/>
      <w:r w:rsidR="00E2586D" w:rsidRPr="00330629">
        <w:rPr>
          <w:rFonts w:cs="Tahoma"/>
          <w:sz w:val="22"/>
          <w:szCs w:val="22"/>
        </w:rPr>
        <w:t xml:space="preserve"> του σύμφωνα με την παρ. 3 του άρθρου 22Η του ν. 4795/2021» (ΦΕΚ Β’ 5335/06.10.205) και συγκεκριμένα του Άρθρου 1, θεσπίζεται νέα διοικητική διαδικασία με επίσημο τίτλο «Θέσπιση Μητρώου Κινδύνων, τήρηση και </w:t>
      </w:r>
      <w:proofErr w:type="spellStart"/>
      <w:r w:rsidR="00E2586D" w:rsidRPr="00330629">
        <w:rPr>
          <w:rFonts w:cs="Tahoma"/>
          <w:sz w:val="22"/>
          <w:szCs w:val="22"/>
        </w:rPr>
        <w:t>επικαιροποίηση</w:t>
      </w:r>
      <w:proofErr w:type="spellEnd"/>
      <w:r w:rsidR="00E2586D" w:rsidRPr="00330629">
        <w:rPr>
          <w:rFonts w:cs="Tahoma"/>
          <w:sz w:val="22"/>
          <w:szCs w:val="22"/>
        </w:rPr>
        <w:t xml:space="preserve"> του»</w:t>
      </w:r>
      <w:r w:rsidRPr="00330629">
        <w:rPr>
          <w:rFonts w:cs="Tahoma"/>
          <w:sz w:val="22"/>
          <w:szCs w:val="22"/>
        </w:rPr>
        <w:t>. Τονίζεται δε</w:t>
      </w:r>
      <w:r>
        <w:rPr>
          <w:rFonts w:cs="Tahoma"/>
          <w:sz w:val="22"/>
          <w:szCs w:val="22"/>
        </w:rPr>
        <w:t>,</w:t>
      </w:r>
      <w:r w:rsidRPr="00330629">
        <w:rPr>
          <w:rFonts w:cs="Tahoma"/>
          <w:sz w:val="22"/>
          <w:szCs w:val="22"/>
        </w:rPr>
        <w:t xml:space="preserve"> πως </w:t>
      </w:r>
      <w:proofErr w:type="spellStart"/>
      <w:r w:rsidRPr="00330629">
        <w:rPr>
          <w:rFonts w:cs="Tahoma" w:hint="eastAsia"/>
          <w:sz w:val="22"/>
          <w:szCs w:val="22"/>
        </w:rPr>
        <w:t>μέχρι</w:t>
      </w:r>
      <w:proofErr w:type="spellEnd"/>
      <w:r w:rsidRPr="00330629">
        <w:rPr>
          <w:rFonts w:cs="Tahoma"/>
          <w:sz w:val="22"/>
          <w:szCs w:val="22"/>
        </w:rPr>
        <w:t xml:space="preserve"> </w:t>
      </w:r>
      <w:r w:rsidRPr="00330629">
        <w:rPr>
          <w:rFonts w:cs="Tahoma" w:hint="eastAsia"/>
          <w:sz w:val="22"/>
          <w:szCs w:val="22"/>
        </w:rPr>
        <w:t>την</w:t>
      </w:r>
      <w:r w:rsidRPr="00330629">
        <w:rPr>
          <w:rFonts w:cs="Tahoma"/>
          <w:sz w:val="22"/>
          <w:szCs w:val="22"/>
        </w:rPr>
        <w:t xml:space="preserve"> </w:t>
      </w:r>
      <w:proofErr w:type="spellStart"/>
      <w:r w:rsidRPr="00330629">
        <w:rPr>
          <w:rFonts w:cs="Tahoma" w:hint="eastAsia"/>
          <w:sz w:val="22"/>
          <w:szCs w:val="22"/>
        </w:rPr>
        <w:t>έναρξη</w:t>
      </w:r>
      <w:proofErr w:type="spellEnd"/>
      <w:r w:rsidRPr="00330629">
        <w:rPr>
          <w:rFonts w:cs="Tahoma"/>
          <w:sz w:val="22"/>
          <w:szCs w:val="22"/>
        </w:rPr>
        <w:t xml:space="preserve"> </w:t>
      </w:r>
      <w:proofErr w:type="spellStart"/>
      <w:r w:rsidRPr="00330629">
        <w:rPr>
          <w:rFonts w:cs="Tahoma" w:hint="eastAsia"/>
          <w:sz w:val="22"/>
          <w:szCs w:val="22"/>
        </w:rPr>
        <w:t>λειτουργίας</w:t>
      </w:r>
      <w:proofErr w:type="spellEnd"/>
      <w:r w:rsidRPr="00330629">
        <w:rPr>
          <w:rFonts w:cs="Tahoma"/>
          <w:sz w:val="22"/>
          <w:szCs w:val="22"/>
        </w:rPr>
        <w:t xml:space="preserve"> </w:t>
      </w:r>
      <w:r w:rsidRPr="00330629">
        <w:rPr>
          <w:rFonts w:cs="Tahoma" w:hint="eastAsia"/>
          <w:sz w:val="22"/>
          <w:szCs w:val="22"/>
        </w:rPr>
        <w:t>της</w:t>
      </w:r>
      <w:r w:rsidRPr="00330629">
        <w:rPr>
          <w:rFonts w:cs="Tahoma"/>
          <w:sz w:val="22"/>
          <w:szCs w:val="22"/>
        </w:rPr>
        <w:t xml:space="preserve"> </w:t>
      </w:r>
      <w:r w:rsidR="00BC3557" w:rsidRPr="00BC3557">
        <w:rPr>
          <w:rFonts w:cs="Tahoma"/>
          <w:sz w:val="22"/>
          <w:szCs w:val="22"/>
        </w:rPr>
        <w:t>ειδικής</w:t>
      </w:r>
      <w:r w:rsidRPr="00330629">
        <w:rPr>
          <w:rFonts w:cs="Tahoma"/>
          <w:sz w:val="22"/>
          <w:szCs w:val="22"/>
        </w:rPr>
        <w:t xml:space="preserve"> </w:t>
      </w:r>
      <w:r w:rsidR="00BC3557" w:rsidRPr="00BC3557">
        <w:rPr>
          <w:rFonts w:cs="Tahoma"/>
          <w:sz w:val="22"/>
          <w:szCs w:val="22"/>
        </w:rPr>
        <w:t>διαδικτυακής</w:t>
      </w:r>
      <w:r w:rsidRPr="00330629">
        <w:rPr>
          <w:rFonts w:cs="Tahoma"/>
          <w:sz w:val="22"/>
          <w:szCs w:val="22"/>
        </w:rPr>
        <w:t xml:space="preserve"> </w:t>
      </w:r>
      <w:r w:rsidR="00BC3557" w:rsidRPr="00BC3557">
        <w:rPr>
          <w:rFonts w:cs="Tahoma"/>
          <w:sz w:val="22"/>
          <w:szCs w:val="22"/>
        </w:rPr>
        <w:t>εφαρμογής</w:t>
      </w:r>
      <w:r>
        <w:rPr>
          <w:rFonts w:cs="Tahoma"/>
          <w:sz w:val="22"/>
          <w:szCs w:val="22"/>
        </w:rPr>
        <w:t xml:space="preserve"> καταχώρισης </w:t>
      </w:r>
      <w:r w:rsidRPr="00F603F0">
        <w:rPr>
          <w:rFonts w:cs="Tahoma"/>
          <w:sz w:val="22"/>
          <w:szCs w:val="22"/>
        </w:rPr>
        <w:t>με τον τίτλο «Μητρώο Κινδύνων Δημόσιου Τομέα»</w:t>
      </w:r>
      <w:r w:rsidRPr="00330629">
        <w:rPr>
          <w:rFonts w:cs="Tahoma"/>
          <w:sz w:val="22"/>
          <w:szCs w:val="22"/>
        </w:rPr>
        <w:t xml:space="preserve">, </w:t>
      </w:r>
      <w:r w:rsidRPr="00330629">
        <w:rPr>
          <w:rFonts w:cs="Tahoma" w:hint="eastAsia"/>
          <w:sz w:val="22"/>
          <w:szCs w:val="22"/>
        </w:rPr>
        <w:t>οι</w:t>
      </w:r>
      <w:r w:rsidRPr="00330629">
        <w:rPr>
          <w:rFonts w:cs="Tahoma"/>
          <w:sz w:val="22"/>
          <w:szCs w:val="22"/>
        </w:rPr>
        <w:t xml:space="preserve"> </w:t>
      </w:r>
      <w:proofErr w:type="spellStart"/>
      <w:r w:rsidRPr="00330629">
        <w:rPr>
          <w:rFonts w:cs="Tahoma" w:hint="eastAsia"/>
          <w:sz w:val="22"/>
          <w:szCs w:val="22"/>
        </w:rPr>
        <w:t>φορείς</w:t>
      </w:r>
      <w:proofErr w:type="spellEnd"/>
      <w:r w:rsidRPr="00330629">
        <w:rPr>
          <w:rFonts w:cs="Tahoma"/>
          <w:sz w:val="22"/>
          <w:szCs w:val="22"/>
        </w:rPr>
        <w:t xml:space="preserve"> </w:t>
      </w:r>
      <w:proofErr w:type="spellStart"/>
      <w:r w:rsidRPr="00330629">
        <w:rPr>
          <w:rFonts w:cs="Tahoma" w:hint="eastAsia"/>
          <w:sz w:val="22"/>
          <w:szCs w:val="22"/>
        </w:rPr>
        <w:t>οφείλουν</w:t>
      </w:r>
      <w:proofErr w:type="spellEnd"/>
      <w:r w:rsidRPr="00330629">
        <w:rPr>
          <w:rFonts w:cs="Tahoma"/>
          <w:sz w:val="22"/>
          <w:szCs w:val="22"/>
        </w:rPr>
        <w:t xml:space="preserve"> </w:t>
      </w:r>
      <w:r w:rsidRPr="00330629">
        <w:rPr>
          <w:rFonts w:cs="Tahoma" w:hint="eastAsia"/>
          <w:sz w:val="22"/>
          <w:szCs w:val="22"/>
        </w:rPr>
        <w:t>να</w:t>
      </w:r>
      <w:r w:rsidRPr="00330629">
        <w:rPr>
          <w:rFonts w:cs="Tahoma"/>
          <w:sz w:val="22"/>
          <w:szCs w:val="22"/>
        </w:rPr>
        <w:t xml:space="preserve"> </w:t>
      </w:r>
      <w:proofErr w:type="spellStart"/>
      <w:r w:rsidRPr="00330629">
        <w:rPr>
          <w:rFonts w:cs="Tahoma" w:hint="eastAsia"/>
          <w:sz w:val="22"/>
          <w:szCs w:val="22"/>
        </w:rPr>
        <w:t>τηρούν</w:t>
      </w:r>
      <w:proofErr w:type="spellEnd"/>
      <w:r w:rsidRPr="00330629">
        <w:rPr>
          <w:rFonts w:cs="Tahoma"/>
          <w:sz w:val="22"/>
          <w:szCs w:val="22"/>
        </w:rPr>
        <w:t xml:space="preserve"> </w:t>
      </w:r>
      <w:r w:rsidRPr="00330629">
        <w:rPr>
          <w:rFonts w:cs="Tahoma" w:hint="eastAsia"/>
          <w:sz w:val="22"/>
          <w:szCs w:val="22"/>
        </w:rPr>
        <w:t>το</w:t>
      </w:r>
      <w:r w:rsidRPr="00330629">
        <w:rPr>
          <w:rFonts w:cs="Tahoma"/>
          <w:sz w:val="22"/>
          <w:szCs w:val="22"/>
        </w:rPr>
        <w:t xml:space="preserve"> </w:t>
      </w:r>
      <w:proofErr w:type="spellStart"/>
      <w:r w:rsidRPr="00330629">
        <w:rPr>
          <w:rFonts w:cs="Tahoma" w:hint="eastAsia"/>
          <w:sz w:val="22"/>
          <w:szCs w:val="22"/>
        </w:rPr>
        <w:t>Μητρώο</w:t>
      </w:r>
      <w:proofErr w:type="spellEnd"/>
      <w:r w:rsidRPr="00330629">
        <w:rPr>
          <w:rFonts w:cs="Tahoma"/>
          <w:sz w:val="22"/>
          <w:szCs w:val="22"/>
        </w:rPr>
        <w:t xml:space="preserve"> </w:t>
      </w:r>
      <w:proofErr w:type="spellStart"/>
      <w:r w:rsidRPr="00330629">
        <w:rPr>
          <w:rFonts w:cs="Tahoma" w:hint="eastAsia"/>
          <w:sz w:val="22"/>
          <w:szCs w:val="22"/>
        </w:rPr>
        <w:t>Κινδύνων</w:t>
      </w:r>
      <w:proofErr w:type="spellEnd"/>
      <w:r w:rsidRPr="00330629">
        <w:rPr>
          <w:rFonts w:cs="Tahoma"/>
          <w:sz w:val="22"/>
          <w:szCs w:val="22"/>
        </w:rPr>
        <w:t xml:space="preserve"> </w:t>
      </w:r>
      <w:proofErr w:type="spellStart"/>
      <w:r w:rsidRPr="00330629">
        <w:rPr>
          <w:rFonts w:cs="Tahoma" w:hint="eastAsia"/>
          <w:sz w:val="22"/>
          <w:szCs w:val="22"/>
        </w:rPr>
        <w:t>ηλεκτρονικα</w:t>
      </w:r>
      <w:proofErr w:type="spellEnd"/>
      <w:r w:rsidRPr="00330629">
        <w:rPr>
          <w:rFonts w:cs="Tahoma" w:hint="eastAsia"/>
          <w:sz w:val="22"/>
          <w:szCs w:val="22"/>
        </w:rPr>
        <w:t>́</w:t>
      </w:r>
      <w:r w:rsidRPr="00330629">
        <w:rPr>
          <w:rFonts w:cs="Tahoma"/>
          <w:sz w:val="22"/>
          <w:szCs w:val="22"/>
        </w:rPr>
        <w:t xml:space="preserve">, </w:t>
      </w:r>
      <w:r w:rsidRPr="00330629">
        <w:rPr>
          <w:rFonts w:cs="Tahoma" w:hint="eastAsia"/>
          <w:sz w:val="22"/>
          <w:szCs w:val="22"/>
        </w:rPr>
        <w:t>με</w:t>
      </w:r>
      <w:r w:rsidRPr="00330629">
        <w:rPr>
          <w:rFonts w:cs="Tahoma"/>
          <w:sz w:val="22"/>
          <w:szCs w:val="22"/>
        </w:rPr>
        <w:t xml:space="preserve"> </w:t>
      </w:r>
      <w:proofErr w:type="spellStart"/>
      <w:r w:rsidRPr="00330629">
        <w:rPr>
          <w:rFonts w:cs="Tahoma" w:hint="eastAsia"/>
          <w:sz w:val="22"/>
          <w:szCs w:val="22"/>
        </w:rPr>
        <w:t>κάθε</w:t>
      </w:r>
      <w:proofErr w:type="spellEnd"/>
      <w:r w:rsidRPr="00330629">
        <w:rPr>
          <w:rFonts w:cs="Tahoma"/>
          <w:sz w:val="22"/>
          <w:szCs w:val="22"/>
        </w:rPr>
        <w:t xml:space="preserve"> </w:t>
      </w:r>
      <w:proofErr w:type="spellStart"/>
      <w:r w:rsidRPr="00330629">
        <w:rPr>
          <w:rFonts w:cs="Tahoma" w:hint="eastAsia"/>
          <w:sz w:val="22"/>
          <w:szCs w:val="22"/>
        </w:rPr>
        <w:t>πρόσφορο</w:t>
      </w:r>
      <w:proofErr w:type="spellEnd"/>
      <w:r w:rsidRPr="00330629">
        <w:rPr>
          <w:rFonts w:cs="Tahoma"/>
          <w:sz w:val="22"/>
          <w:szCs w:val="22"/>
        </w:rPr>
        <w:t xml:space="preserve"> </w:t>
      </w:r>
      <w:proofErr w:type="spellStart"/>
      <w:r w:rsidRPr="00330629">
        <w:rPr>
          <w:rFonts w:cs="Tahoma" w:hint="eastAsia"/>
          <w:sz w:val="22"/>
          <w:szCs w:val="22"/>
        </w:rPr>
        <w:t>μέσο</w:t>
      </w:r>
      <w:proofErr w:type="spellEnd"/>
      <w:r w:rsidRPr="00330629">
        <w:rPr>
          <w:rFonts w:cs="Tahoma"/>
          <w:sz w:val="22"/>
          <w:szCs w:val="22"/>
        </w:rPr>
        <w:t xml:space="preserve">, </w:t>
      </w:r>
      <w:proofErr w:type="spellStart"/>
      <w:r w:rsidRPr="00330629">
        <w:rPr>
          <w:rFonts w:cs="Tahoma" w:hint="eastAsia"/>
          <w:sz w:val="22"/>
          <w:szCs w:val="22"/>
        </w:rPr>
        <w:t>τηρώντας</w:t>
      </w:r>
      <w:proofErr w:type="spellEnd"/>
      <w:r w:rsidRPr="00330629">
        <w:rPr>
          <w:rFonts w:cs="Tahoma"/>
          <w:sz w:val="22"/>
          <w:szCs w:val="22"/>
        </w:rPr>
        <w:t xml:space="preserve"> </w:t>
      </w:r>
      <w:proofErr w:type="spellStart"/>
      <w:r w:rsidRPr="00330629">
        <w:rPr>
          <w:rFonts w:cs="Tahoma" w:hint="eastAsia"/>
          <w:sz w:val="22"/>
          <w:szCs w:val="22"/>
        </w:rPr>
        <w:t>αναλογικα</w:t>
      </w:r>
      <w:proofErr w:type="spellEnd"/>
      <w:r w:rsidRPr="00330629">
        <w:rPr>
          <w:rFonts w:cs="Tahoma" w:hint="eastAsia"/>
          <w:sz w:val="22"/>
          <w:szCs w:val="22"/>
        </w:rPr>
        <w:t>́</w:t>
      </w:r>
      <w:r w:rsidRPr="00330629">
        <w:rPr>
          <w:rFonts w:cs="Tahoma"/>
          <w:sz w:val="22"/>
          <w:szCs w:val="22"/>
        </w:rPr>
        <w:t xml:space="preserve"> </w:t>
      </w:r>
      <w:r w:rsidRPr="00330629">
        <w:rPr>
          <w:rFonts w:cs="Tahoma" w:hint="eastAsia"/>
          <w:sz w:val="22"/>
          <w:szCs w:val="22"/>
        </w:rPr>
        <w:t>τα</w:t>
      </w:r>
      <w:r w:rsidRPr="00330629">
        <w:rPr>
          <w:rFonts w:cs="Tahoma"/>
          <w:sz w:val="22"/>
          <w:szCs w:val="22"/>
        </w:rPr>
        <w:t xml:space="preserve"> </w:t>
      </w:r>
      <w:proofErr w:type="spellStart"/>
      <w:r w:rsidRPr="00330629">
        <w:rPr>
          <w:rFonts w:cs="Tahoma" w:hint="eastAsia"/>
          <w:sz w:val="22"/>
          <w:szCs w:val="22"/>
        </w:rPr>
        <w:t>προβλεπόμενα</w:t>
      </w:r>
      <w:proofErr w:type="spellEnd"/>
      <w:r w:rsidRPr="00330629">
        <w:rPr>
          <w:rFonts w:cs="Tahoma"/>
          <w:sz w:val="22"/>
          <w:szCs w:val="22"/>
        </w:rPr>
        <w:t xml:space="preserve"> </w:t>
      </w:r>
      <w:r w:rsidRPr="00330629">
        <w:rPr>
          <w:rFonts w:cs="Tahoma" w:hint="eastAsia"/>
          <w:sz w:val="22"/>
          <w:szCs w:val="22"/>
        </w:rPr>
        <w:t>στις</w:t>
      </w:r>
      <w:r w:rsidRPr="00330629">
        <w:rPr>
          <w:rFonts w:cs="Tahoma"/>
          <w:sz w:val="22"/>
          <w:szCs w:val="22"/>
        </w:rPr>
        <w:t xml:space="preserve"> </w:t>
      </w:r>
      <w:r w:rsidR="009A3FCF" w:rsidRPr="009A3FCF">
        <w:rPr>
          <w:rFonts w:cs="Tahoma"/>
          <w:sz w:val="22"/>
          <w:szCs w:val="22"/>
        </w:rPr>
        <w:t>διατάξεις</w:t>
      </w:r>
      <w:r w:rsidRPr="00330629">
        <w:rPr>
          <w:rFonts w:cs="Tahoma"/>
          <w:sz w:val="22"/>
          <w:szCs w:val="22"/>
        </w:rPr>
        <w:t xml:space="preserve"> </w:t>
      </w:r>
      <w:r w:rsidRPr="00330629">
        <w:rPr>
          <w:rFonts w:cs="Tahoma" w:hint="eastAsia"/>
          <w:sz w:val="22"/>
          <w:szCs w:val="22"/>
        </w:rPr>
        <w:t>και</w:t>
      </w:r>
      <w:r w:rsidRPr="00330629">
        <w:rPr>
          <w:rFonts w:cs="Tahoma"/>
          <w:sz w:val="22"/>
          <w:szCs w:val="22"/>
        </w:rPr>
        <w:t xml:space="preserve"> </w:t>
      </w:r>
      <w:r w:rsidRPr="00330629">
        <w:rPr>
          <w:rFonts w:cs="Tahoma" w:hint="eastAsia"/>
          <w:sz w:val="22"/>
          <w:szCs w:val="22"/>
        </w:rPr>
        <w:t>το</w:t>
      </w:r>
      <w:r w:rsidRPr="00330629">
        <w:rPr>
          <w:rFonts w:cs="Tahoma"/>
          <w:sz w:val="22"/>
          <w:szCs w:val="22"/>
        </w:rPr>
        <w:t xml:space="preserve"> </w:t>
      </w:r>
      <w:r w:rsidR="009A3FCF">
        <w:rPr>
          <w:rFonts w:cs="Tahoma"/>
          <w:sz w:val="22"/>
          <w:szCs w:val="22"/>
        </w:rPr>
        <w:t>π</w:t>
      </w:r>
      <w:r w:rsidR="009A3FCF" w:rsidRPr="009A3FCF">
        <w:rPr>
          <w:rFonts w:cs="Tahoma"/>
          <w:sz w:val="22"/>
          <w:szCs w:val="22"/>
        </w:rPr>
        <w:t>αράρτημα</w:t>
      </w:r>
      <w:r w:rsidRPr="00330629">
        <w:rPr>
          <w:rFonts w:cs="Tahoma"/>
          <w:sz w:val="22"/>
          <w:szCs w:val="22"/>
        </w:rPr>
        <w:t xml:space="preserve"> </w:t>
      </w:r>
      <w:r w:rsidRPr="00330629">
        <w:rPr>
          <w:rFonts w:cs="Tahoma" w:hint="eastAsia"/>
          <w:sz w:val="22"/>
          <w:szCs w:val="22"/>
        </w:rPr>
        <w:t>της</w:t>
      </w:r>
      <w:r w:rsidRPr="00330629">
        <w:rPr>
          <w:rFonts w:cs="Tahoma"/>
          <w:sz w:val="22"/>
          <w:szCs w:val="22"/>
        </w:rPr>
        <w:t xml:space="preserve"> </w:t>
      </w:r>
      <w:r w:rsidRPr="00330629">
        <w:rPr>
          <w:rFonts w:cs="Tahoma" w:hint="eastAsia"/>
          <w:sz w:val="22"/>
          <w:szCs w:val="22"/>
        </w:rPr>
        <w:t>συγκεκριμένης</w:t>
      </w:r>
      <w:r w:rsidRPr="00330629">
        <w:rPr>
          <w:rFonts w:cs="Tahoma"/>
          <w:sz w:val="22"/>
          <w:szCs w:val="22"/>
        </w:rPr>
        <w:t xml:space="preserve"> </w:t>
      </w:r>
      <w:r w:rsidRPr="00330629">
        <w:rPr>
          <w:rFonts w:cs="Tahoma" w:hint="eastAsia"/>
          <w:sz w:val="22"/>
          <w:szCs w:val="22"/>
        </w:rPr>
        <w:t>απόφασης</w:t>
      </w:r>
      <w:r w:rsidRPr="00330629">
        <w:rPr>
          <w:rFonts w:cs="Tahoma"/>
          <w:sz w:val="22"/>
          <w:szCs w:val="22"/>
        </w:rPr>
        <w:t>.</w:t>
      </w:r>
    </w:p>
    <w:p w:rsidR="009A3FCF" w:rsidRDefault="009A3FCF" w:rsidP="00330629">
      <w:pPr>
        <w:autoSpaceDE w:val="0"/>
        <w:autoSpaceDN w:val="0"/>
        <w:adjustRightInd w:val="0"/>
        <w:spacing w:before="0" w:after="0" w:line="360" w:lineRule="auto"/>
        <w:jc w:val="left"/>
        <w:rPr>
          <w:rFonts w:cs="Tahoma"/>
          <w:sz w:val="22"/>
          <w:szCs w:val="22"/>
        </w:rPr>
      </w:pPr>
    </w:p>
    <w:p w:rsidR="007710AB" w:rsidRDefault="00000000" w:rsidP="00330629">
      <w:pPr>
        <w:autoSpaceDE w:val="0"/>
        <w:autoSpaceDN w:val="0"/>
        <w:adjustRightInd w:val="0"/>
        <w:spacing w:before="0" w:after="0" w:line="360" w:lineRule="auto"/>
        <w:jc w:val="left"/>
        <w:rPr>
          <w:rFonts w:cs="Tahoma"/>
          <w:sz w:val="22"/>
          <w:szCs w:val="22"/>
        </w:rPr>
      </w:pPr>
      <w:r w:rsidRPr="00330629">
        <w:rPr>
          <w:rFonts w:cs="Tahoma"/>
          <w:sz w:val="22"/>
          <w:szCs w:val="22"/>
        </w:rPr>
        <w:t>Επί του παρόντος ο</w:t>
      </w:r>
      <w:r w:rsidR="00330629">
        <w:rPr>
          <w:rFonts w:cs="Tahoma"/>
          <w:sz w:val="22"/>
          <w:szCs w:val="22"/>
        </w:rPr>
        <w:t>ι</w:t>
      </w:r>
      <w:r w:rsidRPr="00330629">
        <w:rPr>
          <w:rFonts w:cs="Tahoma"/>
          <w:sz w:val="22"/>
          <w:szCs w:val="22"/>
        </w:rPr>
        <w:t xml:space="preserve"> φορ</w:t>
      </w:r>
      <w:r w:rsidR="00330629">
        <w:rPr>
          <w:rFonts w:cs="Tahoma"/>
          <w:sz w:val="22"/>
          <w:szCs w:val="22"/>
        </w:rPr>
        <w:t>είς του Δημοσίου στην πλειονότητά τους</w:t>
      </w:r>
      <w:r w:rsidRPr="00330629">
        <w:rPr>
          <w:rFonts w:cs="Tahoma"/>
          <w:sz w:val="22"/>
          <w:szCs w:val="22"/>
        </w:rPr>
        <w:t xml:space="preserve"> δε διαθέτ</w:t>
      </w:r>
      <w:r w:rsidR="00330629">
        <w:rPr>
          <w:rFonts w:cs="Tahoma"/>
          <w:sz w:val="22"/>
          <w:szCs w:val="22"/>
        </w:rPr>
        <w:t>ουν</w:t>
      </w:r>
      <w:r w:rsidRPr="00330629">
        <w:rPr>
          <w:rFonts w:cs="Tahoma"/>
          <w:sz w:val="22"/>
          <w:szCs w:val="22"/>
        </w:rPr>
        <w:t xml:space="preserve"> Μονάδα Διαχείρισης Κινδύνων, αλλά ούτε το κατάλληλο και εξειδικευμένο προσωπικό </w:t>
      </w:r>
      <w:r>
        <w:rPr>
          <w:rFonts w:cs="Tahoma"/>
          <w:sz w:val="22"/>
          <w:szCs w:val="22"/>
        </w:rPr>
        <w:t>ώστε να είναι σε θέση να συστήσ</w:t>
      </w:r>
      <w:r w:rsidR="00330629">
        <w:rPr>
          <w:rFonts w:cs="Tahoma"/>
          <w:sz w:val="22"/>
          <w:szCs w:val="22"/>
        </w:rPr>
        <w:t>ουν</w:t>
      </w:r>
      <w:r>
        <w:rPr>
          <w:rFonts w:cs="Tahoma"/>
          <w:sz w:val="22"/>
          <w:szCs w:val="22"/>
        </w:rPr>
        <w:t xml:space="preserve"> και να λειτουργήσει Μονάδα Διαχείρισης Κινδύνων, προκειμένου η διοίκηση να διαχειριστεί τους επιχειρησιακούς-λειτουργικούς κινδύνους για την επίτευξη των στόχων το</w:t>
      </w:r>
      <w:r w:rsidR="00121F92">
        <w:rPr>
          <w:rFonts w:cs="Tahoma"/>
          <w:sz w:val="22"/>
          <w:szCs w:val="22"/>
        </w:rPr>
        <w:t>υ.</w:t>
      </w:r>
      <w:r w:rsidR="00F603F0">
        <w:rPr>
          <w:rFonts w:cs="Tahoma"/>
          <w:sz w:val="22"/>
          <w:szCs w:val="22"/>
        </w:rPr>
        <w:t xml:space="preserve"> Επίσης δεν διαθέτ</w:t>
      </w:r>
      <w:r w:rsidR="00121F92">
        <w:rPr>
          <w:rFonts w:cs="Tahoma"/>
          <w:sz w:val="22"/>
          <w:szCs w:val="22"/>
        </w:rPr>
        <w:t>ουν</w:t>
      </w:r>
      <w:r w:rsidR="00F603F0">
        <w:rPr>
          <w:rFonts w:cs="Tahoma"/>
          <w:sz w:val="22"/>
          <w:szCs w:val="22"/>
        </w:rPr>
        <w:t xml:space="preserve"> και την τεχνογνωσία για την τήρηση των </w:t>
      </w:r>
      <w:r w:rsidR="00F603F0" w:rsidRPr="00F603F0">
        <w:rPr>
          <w:rFonts w:cs="Tahoma"/>
          <w:sz w:val="22"/>
          <w:szCs w:val="22"/>
        </w:rPr>
        <w:t>στοιχείων του Μητρώου</w:t>
      </w:r>
      <w:r w:rsidR="00F603F0">
        <w:rPr>
          <w:rFonts w:cs="Tahoma"/>
          <w:sz w:val="22"/>
          <w:szCs w:val="22"/>
        </w:rPr>
        <w:t xml:space="preserve"> Κινδύνων</w:t>
      </w:r>
      <w:r w:rsidR="00F603F0" w:rsidRPr="00F603F0">
        <w:rPr>
          <w:rFonts w:cs="Tahoma"/>
          <w:sz w:val="22"/>
          <w:szCs w:val="22"/>
        </w:rPr>
        <w:t xml:space="preserve">, όπως αυτά περιγράφονται αναλυτικά στα πεδία 1 έως 21 του Παραρτήματος της </w:t>
      </w:r>
      <w:r w:rsidR="00F603F0">
        <w:rPr>
          <w:rFonts w:cs="Tahoma"/>
          <w:sz w:val="22"/>
          <w:szCs w:val="22"/>
        </w:rPr>
        <w:t>απόφασης</w:t>
      </w:r>
      <w:r w:rsidR="00F603F0" w:rsidRPr="00F603F0">
        <w:rPr>
          <w:rFonts w:cs="Tahoma"/>
          <w:sz w:val="22"/>
          <w:szCs w:val="22"/>
        </w:rPr>
        <w:t>, διακριτά ανά Γενική Διεύθυνση ή Διεύθυνση στις περιπτώσεις που δεν υφίσταται Γενική Διεύθυνση ή αυτοτελή οργανική μονάδα μη υπαγόμενη σε Γενική Διεύθυνση</w:t>
      </w:r>
      <w:r w:rsidR="00F603F0">
        <w:rPr>
          <w:rFonts w:cs="Tahoma"/>
          <w:sz w:val="22"/>
          <w:szCs w:val="22"/>
        </w:rPr>
        <w:t>.</w:t>
      </w:r>
    </w:p>
    <w:p w:rsidR="007710AB" w:rsidRDefault="009A3FCF" w:rsidP="00330629">
      <w:pPr>
        <w:pStyle w:val="NormalWeb"/>
        <w:spacing w:before="0" w:after="0" w:line="360" w:lineRule="auto"/>
        <w:jc w:val="left"/>
        <w:rPr>
          <w:rFonts w:cs="Tahoma"/>
          <w:color w:val="000000" w:themeColor="text1"/>
          <w:kern w:val="24"/>
          <w:sz w:val="22"/>
          <w:szCs w:val="22"/>
        </w:rPr>
      </w:pPr>
      <w:r>
        <w:rPr>
          <w:rFonts w:cs="Tahoma"/>
          <w:color w:val="000000" w:themeColor="text1"/>
          <w:kern w:val="24"/>
          <w:sz w:val="22"/>
          <w:szCs w:val="22"/>
        </w:rPr>
        <w:t>Πιο συγκεκριμένα, στο</w:t>
      </w:r>
      <w:r>
        <w:rPr>
          <w:rFonts w:cs="Tahoma"/>
          <w:b/>
          <w:bCs/>
          <w:i/>
          <w:iCs/>
          <w:color w:val="000000" w:themeColor="text1"/>
          <w:kern w:val="24"/>
          <w:sz w:val="22"/>
          <w:szCs w:val="22"/>
        </w:rPr>
        <w:t xml:space="preserve"> Άρθρο 22 «Σύσταση στελέχωση οργάνων διαχείρισης κινδύνων - Προσθήκη άρθρου 22Γ στον ν. 4795/2021» </w:t>
      </w:r>
      <w:r>
        <w:rPr>
          <w:rFonts w:cs="Tahoma"/>
          <w:color w:val="000000" w:themeColor="text1"/>
          <w:kern w:val="24"/>
          <w:sz w:val="22"/>
          <w:szCs w:val="22"/>
        </w:rPr>
        <w:t>αναφέρεται ότι:</w:t>
      </w:r>
    </w:p>
    <w:p w:rsidR="00121F92" w:rsidRDefault="00000000" w:rsidP="00121F92">
      <w:pPr>
        <w:spacing w:line="360" w:lineRule="auto"/>
        <w:jc w:val="left"/>
        <w:rPr>
          <w:i/>
          <w:iCs/>
          <w:sz w:val="22"/>
          <w:szCs w:val="22"/>
        </w:rPr>
      </w:pPr>
      <w:r>
        <w:rPr>
          <w:sz w:val="22"/>
          <w:szCs w:val="22"/>
        </w:rPr>
        <w:lastRenderedPageBreak/>
        <w:t xml:space="preserve">4.Εφόσον κρίνεται απαραίτητη για την υποστήριξη των οργάνων διαχείρισης κινδύνων </w:t>
      </w:r>
      <w:r>
        <w:rPr>
          <w:i/>
          <w:iCs/>
          <w:sz w:val="22"/>
          <w:szCs w:val="22"/>
        </w:rPr>
        <w:t>του φορέα η συνδρομή επαγγελματιών με τεχνογνωσία και δεξιότητες που δεν υπάρχουν εντός του φορέα, η συνδρομή αυτή δύναται να ανατίθεται, κατόπιν προηγούμενης αιτιολογημένης απόφασης του επικεφαλής του φορέα, σε φυσικό ή νομικό πρόσωπο, με σύμβαση παροχής ανεξάρτητων υπηρεσιών. Ειδικά για τους Ο.Τ.Α. α΄ βαθμού που δεν πληρούν τα κριτήρια της παρ. 2 του άρθρου 9, όπως αυτά προσδιορίζονται με την απόφαση της παρ. 3 του άρθρου 79, η διαχείριση κινδύνων μπορεί να ανατίθεται σε φυσικό ή νομικό πρόσωπο με σύμβαση παροχής ανεξάρτητων υπηρεσιών, κατόπιν προηγούμενης αιτιολογημένης απόφασης του επικεφαλής αυτών, που διαπιστώνει την αδυναμία σύστασης οργανικής μονάδας ή ορισμού οργάνου για τη διαχείριση κινδύνου. Στις περιπτώσεις αυτές οι σχετικές αποφάσεις κοινοποιούνται στην Εθνική Αρχή Διαφάνειας.</w:t>
      </w:r>
    </w:p>
    <w:p w:rsidR="007710AB" w:rsidRDefault="00330629" w:rsidP="00121F92">
      <w:pPr>
        <w:spacing w:line="360" w:lineRule="auto"/>
        <w:jc w:val="left"/>
        <w:rPr>
          <w:rFonts w:cs="Tahoma"/>
          <w:sz w:val="22"/>
          <w:szCs w:val="22"/>
          <w:lang w:eastAsia="zh-CN"/>
        </w:rPr>
      </w:pPr>
      <w:r>
        <w:rPr>
          <w:rFonts w:cs="Tahoma"/>
          <w:sz w:val="22"/>
          <w:szCs w:val="22"/>
          <w:lang w:eastAsia="zh-CN"/>
        </w:rPr>
        <w:t>Η εταιρεία μας</w:t>
      </w:r>
      <w:r w:rsidR="00000000">
        <w:rPr>
          <w:rFonts w:cs="Tahoma"/>
          <w:sz w:val="22"/>
          <w:szCs w:val="22"/>
          <w:lang w:eastAsia="zh-CN"/>
        </w:rPr>
        <w:t xml:space="preserve"> παρέχει συμβουλευτικές υπηρεσίες ως προς τις κάτωθι αρμοδιότητες:</w:t>
      </w:r>
    </w:p>
    <w:p w:rsidR="007710AB" w:rsidRDefault="00000000" w:rsidP="00121F92">
      <w:pPr>
        <w:pStyle w:val="NormalWeb"/>
        <w:shd w:val="clear" w:color="auto" w:fill="FFFFFF"/>
        <w:spacing w:line="240" w:lineRule="auto"/>
        <w:jc w:val="left"/>
        <w:rPr>
          <w:rFonts w:cs="Tahoma"/>
          <w:sz w:val="22"/>
          <w:szCs w:val="22"/>
          <w:lang w:eastAsia="zh-CN"/>
        </w:rPr>
      </w:pPr>
      <w:r>
        <w:rPr>
          <w:rFonts w:cs="Tahoma"/>
          <w:sz w:val="22"/>
          <w:szCs w:val="22"/>
          <w:lang w:eastAsia="zh-CN"/>
        </w:rPr>
        <w:t>α) εισήγηση της πολιτικής διαχείρισης κινδύνων στον επικεφαλής του φορέα,</w:t>
      </w:r>
    </w:p>
    <w:p w:rsidR="007710AB" w:rsidRDefault="00000000" w:rsidP="00330629">
      <w:pPr>
        <w:pStyle w:val="NormalWeb"/>
        <w:shd w:val="clear" w:color="auto" w:fill="FFFFFF"/>
        <w:jc w:val="left"/>
        <w:rPr>
          <w:rFonts w:cs="Tahoma"/>
          <w:sz w:val="22"/>
          <w:szCs w:val="22"/>
          <w:lang w:eastAsia="zh-CN"/>
        </w:rPr>
      </w:pPr>
      <w:r>
        <w:rPr>
          <w:rFonts w:cs="Tahoma"/>
          <w:sz w:val="22"/>
          <w:szCs w:val="22"/>
          <w:lang w:eastAsia="zh-CN"/>
        </w:rPr>
        <w:t xml:space="preserve">β) ανάπτυξη, παρακολούθηση και </w:t>
      </w:r>
      <w:proofErr w:type="spellStart"/>
      <w:r>
        <w:rPr>
          <w:rFonts w:cs="Tahoma"/>
          <w:sz w:val="22"/>
          <w:szCs w:val="22"/>
          <w:lang w:eastAsia="zh-CN"/>
        </w:rPr>
        <w:t>επικαιροποίηση</w:t>
      </w:r>
      <w:proofErr w:type="spellEnd"/>
      <w:r>
        <w:rPr>
          <w:rFonts w:cs="Tahoma"/>
          <w:sz w:val="22"/>
          <w:szCs w:val="22"/>
          <w:lang w:eastAsia="zh-CN"/>
        </w:rPr>
        <w:t xml:space="preserve"> του πλαισίου διαχείρισης κινδύνων του φορέα, σύμφωνα με τους στρατηγικούς και επιχειρησιακούς στόχους του,</w:t>
      </w:r>
    </w:p>
    <w:p w:rsidR="007710AB" w:rsidRDefault="00000000" w:rsidP="00330629">
      <w:pPr>
        <w:pStyle w:val="NormalWeb"/>
        <w:shd w:val="clear" w:color="auto" w:fill="FFFFFF"/>
        <w:jc w:val="left"/>
        <w:rPr>
          <w:rFonts w:cs="Tahoma"/>
          <w:sz w:val="22"/>
          <w:szCs w:val="22"/>
          <w:lang w:eastAsia="zh-CN"/>
        </w:rPr>
      </w:pPr>
      <w:r>
        <w:rPr>
          <w:rFonts w:cs="Tahoma"/>
          <w:sz w:val="22"/>
          <w:szCs w:val="22"/>
          <w:lang w:eastAsia="zh-CN"/>
        </w:rPr>
        <w:t>γ) ενημέρωση και καθοδήγηση του προσωπικού του φορέα σχετικά με τον τρόπο εντοπισμού και αντιμετώπισης των κινδύνων, κατά την άσκηση των αρμοδιοτήτων του και την παρακολούθηση των δικλίδων ελέγχου,</w:t>
      </w:r>
    </w:p>
    <w:p w:rsidR="007710AB" w:rsidRDefault="00000000" w:rsidP="00330629">
      <w:pPr>
        <w:pStyle w:val="NormalWeb"/>
        <w:shd w:val="clear" w:color="auto" w:fill="FFFFFF"/>
        <w:jc w:val="left"/>
        <w:rPr>
          <w:rFonts w:cs="Tahoma"/>
          <w:sz w:val="22"/>
          <w:szCs w:val="22"/>
          <w:lang w:eastAsia="zh-CN"/>
        </w:rPr>
      </w:pPr>
      <w:r>
        <w:rPr>
          <w:rFonts w:cs="Tahoma"/>
          <w:sz w:val="22"/>
          <w:szCs w:val="22"/>
          <w:lang w:eastAsia="zh-CN"/>
        </w:rPr>
        <w:t>δ) εποπτεία επί της διαδικασίας διαχείρισης κινδύνων που διενεργείται από το σύνολο των οργανικών μονάδων του φορέα,</w:t>
      </w:r>
    </w:p>
    <w:p w:rsidR="007710AB" w:rsidRDefault="00000000" w:rsidP="00330629">
      <w:pPr>
        <w:pStyle w:val="NormalWeb"/>
        <w:shd w:val="clear" w:color="auto" w:fill="FFFFFF"/>
        <w:jc w:val="left"/>
        <w:rPr>
          <w:rFonts w:cs="Tahoma"/>
          <w:sz w:val="22"/>
          <w:szCs w:val="22"/>
          <w:lang w:eastAsia="zh-CN"/>
        </w:rPr>
      </w:pPr>
      <w:r>
        <w:rPr>
          <w:rFonts w:cs="Tahoma"/>
          <w:sz w:val="22"/>
          <w:szCs w:val="22"/>
          <w:lang w:eastAsia="zh-CN"/>
        </w:rPr>
        <w:t xml:space="preserve">ε) τήρηση, τη συνεχή παρακολούθηση και την </w:t>
      </w:r>
      <w:proofErr w:type="spellStart"/>
      <w:r>
        <w:rPr>
          <w:rFonts w:cs="Tahoma"/>
          <w:sz w:val="22"/>
          <w:szCs w:val="22"/>
          <w:lang w:eastAsia="zh-CN"/>
        </w:rPr>
        <w:t>επικαιροποίηση</w:t>
      </w:r>
      <w:proofErr w:type="spellEnd"/>
      <w:r>
        <w:rPr>
          <w:rFonts w:cs="Tahoma"/>
          <w:sz w:val="22"/>
          <w:szCs w:val="22"/>
          <w:lang w:eastAsia="zh-CN"/>
        </w:rPr>
        <w:t xml:space="preserve"> του Μητρώου Κινδύνων του άρθρου 22ΣΤ του φορέα και την παροχή κατευθύνσεων προς τις λοιπές οργανικές μονάδες,</w:t>
      </w:r>
    </w:p>
    <w:p w:rsidR="007710AB" w:rsidRDefault="00000000" w:rsidP="00330629">
      <w:pPr>
        <w:pStyle w:val="NormalWeb"/>
        <w:shd w:val="clear" w:color="auto" w:fill="FFFFFF"/>
        <w:jc w:val="left"/>
        <w:rPr>
          <w:rFonts w:cs="Tahoma"/>
          <w:sz w:val="22"/>
          <w:szCs w:val="22"/>
          <w:lang w:eastAsia="zh-CN"/>
        </w:rPr>
      </w:pPr>
      <w:proofErr w:type="spellStart"/>
      <w:r>
        <w:rPr>
          <w:rFonts w:cs="Tahoma"/>
          <w:sz w:val="22"/>
          <w:szCs w:val="22"/>
          <w:lang w:eastAsia="zh-CN"/>
        </w:rPr>
        <w:t>στ</w:t>
      </w:r>
      <w:proofErr w:type="spellEnd"/>
      <w:r>
        <w:rPr>
          <w:rFonts w:cs="Tahoma"/>
          <w:sz w:val="22"/>
          <w:szCs w:val="22"/>
          <w:lang w:eastAsia="zh-CN"/>
        </w:rPr>
        <w:t>) υποβολή περιοδικών και έκτακτων αναφορών προς τον επικεφαλής του φορέα σχετικά με τους κινδύνους στους οποίους είναι εκτεθειμένος ο φορέας και</w:t>
      </w:r>
    </w:p>
    <w:p w:rsidR="00330629" w:rsidRDefault="00000000" w:rsidP="00330629">
      <w:pPr>
        <w:pStyle w:val="NormalWeb"/>
        <w:shd w:val="clear" w:color="auto" w:fill="FFFFFF"/>
        <w:jc w:val="left"/>
        <w:rPr>
          <w:rFonts w:cs="Tahoma"/>
          <w:sz w:val="22"/>
          <w:szCs w:val="22"/>
          <w:lang w:eastAsia="zh-CN"/>
        </w:rPr>
      </w:pPr>
      <w:r>
        <w:rPr>
          <w:rFonts w:cs="Tahoma"/>
          <w:sz w:val="22"/>
          <w:szCs w:val="22"/>
          <w:lang w:eastAsia="zh-CN"/>
        </w:rPr>
        <w:t>ζ) υποβολή ετήσιας έκθεση προς τον επικεφαλής του φορέα, η οποία κοινοποιείται στην Εθνική Αρχή Διαφάνειας.</w:t>
      </w:r>
    </w:p>
    <w:p w:rsidR="00121F92" w:rsidRDefault="00121F92" w:rsidP="00330629">
      <w:pPr>
        <w:pStyle w:val="NormalWeb"/>
        <w:shd w:val="clear" w:color="auto" w:fill="FFFFFF"/>
        <w:jc w:val="left"/>
        <w:rPr>
          <w:rFonts w:eastAsia="Perpetua" w:cs="Tahoma"/>
          <w:b/>
          <w:szCs w:val="32"/>
          <w:u w:val="single"/>
          <w:lang w:eastAsia="en-US"/>
        </w:rPr>
      </w:pPr>
    </w:p>
    <w:p w:rsidR="00121F92" w:rsidRDefault="00121F92" w:rsidP="00330629">
      <w:pPr>
        <w:pStyle w:val="NormalWeb"/>
        <w:shd w:val="clear" w:color="auto" w:fill="FFFFFF"/>
        <w:jc w:val="left"/>
        <w:rPr>
          <w:rFonts w:eastAsia="Perpetua" w:cs="Tahoma"/>
          <w:b/>
          <w:szCs w:val="32"/>
          <w:u w:val="single"/>
          <w:lang w:eastAsia="en-US"/>
        </w:rPr>
      </w:pPr>
    </w:p>
    <w:p w:rsidR="00121F92" w:rsidRDefault="00121F92" w:rsidP="00330629">
      <w:pPr>
        <w:pStyle w:val="NormalWeb"/>
        <w:shd w:val="clear" w:color="auto" w:fill="FFFFFF"/>
        <w:jc w:val="left"/>
        <w:rPr>
          <w:rFonts w:eastAsia="Perpetua" w:cs="Tahoma"/>
          <w:b/>
          <w:szCs w:val="32"/>
          <w:u w:val="single"/>
          <w:lang w:eastAsia="en-US"/>
        </w:rPr>
      </w:pPr>
    </w:p>
    <w:p w:rsidR="00121F92" w:rsidRDefault="00121F92" w:rsidP="00330629">
      <w:pPr>
        <w:pStyle w:val="NormalWeb"/>
        <w:shd w:val="clear" w:color="auto" w:fill="FFFFFF"/>
        <w:jc w:val="left"/>
        <w:rPr>
          <w:rFonts w:eastAsia="Perpetua" w:cs="Tahoma"/>
          <w:b/>
          <w:szCs w:val="32"/>
          <w:u w:val="single"/>
          <w:lang w:eastAsia="en-US"/>
        </w:rPr>
      </w:pPr>
    </w:p>
    <w:p w:rsidR="007710AB" w:rsidRPr="00330629" w:rsidRDefault="00000000" w:rsidP="00330629">
      <w:pPr>
        <w:pStyle w:val="NormalWeb"/>
        <w:shd w:val="clear" w:color="auto" w:fill="FFFFFF"/>
        <w:jc w:val="left"/>
        <w:rPr>
          <w:rFonts w:cs="Tahoma"/>
          <w:sz w:val="22"/>
          <w:szCs w:val="22"/>
          <w:lang w:eastAsia="zh-CN"/>
        </w:rPr>
      </w:pPr>
      <w:r>
        <w:rPr>
          <w:rFonts w:eastAsia="Perpetua" w:cs="Tahoma"/>
          <w:b/>
          <w:szCs w:val="32"/>
          <w:u w:val="single"/>
          <w:lang w:eastAsia="en-US"/>
        </w:rPr>
        <w:lastRenderedPageBreak/>
        <w:t>ΠΑΡΑΔΟΤΕΑ</w:t>
      </w:r>
    </w:p>
    <w:p w:rsidR="007710AB" w:rsidRDefault="00000000">
      <w:pPr>
        <w:autoSpaceDE w:val="0"/>
        <w:autoSpaceDN w:val="0"/>
        <w:adjustRightInd w:val="0"/>
        <w:rPr>
          <w:rFonts w:cs="Tahoma"/>
          <w:sz w:val="22"/>
          <w:szCs w:val="22"/>
        </w:rPr>
      </w:pPr>
      <w:r>
        <w:rPr>
          <w:b/>
          <w:bCs/>
          <w:sz w:val="22"/>
          <w:szCs w:val="22"/>
          <w:lang w:eastAsia="en-US"/>
        </w:rPr>
        <w:t xml:space="preserve">Α. Κατάρτιση πολιτικής διαχείρισης κινδύνων </w:t>
      </w:r>
      <w:r>
        <w:rPr>
          <w:sz w:val="22"/>
          <w:szCs w:val="22"/>
          <w:lang w:eastAsia="en-US"/>
        </w:rPr>
        <w:t>που θα περιλαμβάνει τον τρόπο διαχείρισης κινδύνων ανά σκοπό και στόχο, τη διάθεση ανάληψης και το επίπεδο ανοχής κινδύνου, καθώς και τους ρόλους και τις αρμοδιότητες των κατάλληλων επιπέδων διοίκησης αναφορικά με τον σχεδιασμό, την παρακολούθηση και την εφαρμογή του πλαισίου διαχείρισης κινδύνων.</w:t>
      </w:r>
    </w:p>
    <w:p w:rsidR="007710AB" w:rsidRDefault="007710AB">
      <w:pPr>
        <w:autoSpaceDE w:val="0"/>
        <w:autoSpaceDN w:val="0"/>
        <w:adjustRightInd w:val="0"/>
        <w:rPr>
          <w:rFonts w:cs="Tahoma"/>
          <w:sz w:val="22"/>
          <w:szCs w:val="22"/>
        </w:rPr>
      </w:pPr>
    </w:p>
    <w:p w:rsidR="007710AB" w:rsidRDefault="00000000">
      <w:pPr>
        <w:autoSpaceDE w:val="0"/>
        <w:autoSpaceDN w:val="0"/>
        <w:adjustRightInd w:val="0"/>
        <w:rPr>
          <w:rFonts w:cs="Tahoma"/>
          <w:sz w:val="22"/>
          <w:szCs w:val="22"/>
        </w:rPr>
      </w:pPr>
      <w:r>
        <w:rPr>
          <w:b/>
          <w:bCs/>
          <w:sz w:val="22"/>
          <w:szCs w:val="22"/>
          <w:lang w:eastAsia="en-US"/>
        </w:rPr>
        <w:t>Β. Κατάρτιση πλαισίου διαχείρισης κινδύνων</w:t>
      </w:r>
      <w:r>
        <w:rPr>
          <w:sz w:val="22"/>
          <w:szCs w:val="22"/>
          <w:lang w:eastAsia="en-US"/>
        </w:rPr>
        <w:t xml:space="preserve"> που θα περιλαμβάνει τις κατευθύνσεις και τις οργανωτικές ρυθμίσεις που αφορούν στον σχεδιασμό, την εφαρμογή, την αξιολόγηση και τη διαρκή βελτίωση της διαχείρισης κινδύνων του φορέα, καθώς και τη μεθοδολογία της διαδικασίας διαχείρισης κινδύνων. </w:t>
      </w:r>
    </w:p>
    <w:p w:rsidR="007710AB" w:rsidRDefault="007710AB">
      <w:pPr>
        <w:autoSpaceDE w:val="0"/>
        <w:autoSpaceDN w:val="0"/>
        <w:adjustRightInd w:val="0"/>
        <w:rPr>
          <w:rFonts w:cs="Tahoma"/>
          <w:sz w:val="22"/>
          <w:szCs w:val="22"/>
        </w:rPr>
      </w:pPr>
    </w:p>
    <w:p w:rsidR="009A3FCF" w:rsidRDefault="00000000">
      <w:pPr>
        <w:autoSpaceDE w:val="0"/>
        <w:autoSpaceDN w:val="0"/>
        <w:adjustRightInd w:val="0"/>
        <w:rPr>
          <w:rFonts w:cs="Tahoma"/>
          <w:sz w:val="22"/>
          <w:szCs w:val="22"/>
        </w:rPr>
      </w:pPr>
      <w:r>
        <w:rPr>
          <w:b/>
          <w:bCs/>
          <w:sz w:val="22"/>
          <w:szCs w:val="22"/>
          <w:lang w:eastAsia="en-US"/>
        </w:rPr>
        <w:t xml:space="preserve">Γ. </w:t>
      </w:r>
      <w:r w:rsidR="009A3FCF" w:rsidRPr="009A3FCF">
        <w:rPr>
          <w:b/>
          <w:bCs/>
          <w:sz w:val="22"/>
          <w:szCs w:val="22"/>
          <w:lang w:eastAsia="en-US"/>
        </w:rPr>
        <w:t xml:space="preserve">Συμβουλευτικές υπηρεσίες θέσπισης, τήρησης και </w:t>
      </w:r>
      <w:proofErr w:type="spellStart"/>
      <w:r w:rsidR="009A3FCF" w:rsidRPr="009A3FCF">
        <w:rPr>
          <w:b/>
          <w:bCs/>
          <w:sz w:val="22"/>
          <w:szCs w:val="22"/>
          <w:lang w:eastAsia="en-US"/>
        </w:rPr>
        <w:t>επικαιροποίησης</w:t>
      </w:r>
      <w:proofErr w:type="spellEnd"/>
      <w:r w:rsidR="009A3FCF" w:rsidRPr="009A3FCF">
        <w:rPr>
          <w:b/>
          <w:bCs/>
          <w:sz w:val="22"/>
          <w:szCs w:val="22"/>
          <w:lang w:eastAsia="en-US"/>
        </w:rPr>
        <w:t xml:space="preserve"> του μητρώου κινδύνων σύμφωνα με την παρ. 3 του άρθρου 22Η του ν.4795/2021 </w:t>
      </w:r>
    </w:p>
    <w:p w:rsidR="009A3FCF" w:rsidRPr="00330629" w:rsidRDefault="00000000" w:rsidP="00330629">
      <w:pPr>
        <w:rPr>
          <w:rFonts w:eastAsia="Calibri" w:cs="Tahoma"/>
          <w:sz w:val="22"/>
          <w:szCs w:val="22"/>
        </w:rPr>
      </w:pPr>
      <w:r w:rsidRPr="00330629">
        <w:rPr>
          <w:sz w:val="22"/>
          <w:szCs w:val="22"/>
          <w:lang w:eastAsia="en-US"/>
        </w:rPr>
        <w:t xml:space="preserve">Στο Μητρώο Κινδύνων </w:t>
      </w:r>
      <w:r w:rsidR="00BC3557">
        <w:rPr>
          <w:sz w:val="22"/>
          <w:szCs w:val="22"/>
          <w:lang w:eastAsia="en-US"/>
        </w:rPr>
        <w:t xml:space="preserve">Δημόσιου Τομέα </w:t>
      </w:r>
      <w:r w:rsidR="009A3FCF" w:rsidRPr="00330629">
        <w:rPr>
          <w:sz w:val="22"/>
          <w:szCs w:val="22"/>
          <w:lang w:eastAsia="en-US"/>
        </w:rPr>
        <w:t xml:space="preserve">θα τηρούνται τα στοιχεία του </w:t>
      </w:r>
      <w:r w:rsidR="00BC3557">
        <w:rPr>
          <w:sz w:val="22"/>
          <w:szCs w:val="22"/>
          <w:lang w:eastAsia="en-US"/>
        </w:rPr>
        <w:t xml:space="preserve">φορέα </w:t>
      </w:r>
      <w:proofErr w:type="spellStart"/>
      <w:r w:rsidR="009A3FCF" w:rsidRPr="00330629">
        <w:rPr>
          <w:rFonts w:hint="eastAsia"/>
          <w:sz w:val="22"/>
          <w:szCs w:val="22"/>
          <w:lang w:eastAsia="en-US"/>
        </w:rPr>
        <w:t>όπως</w:t>
      </w:r>
      <w:proofErr w:type="spellEnd"/>
      <w:r w:rsidR="009A3FCF" w:rsidRPr="00330629">
        <w:rPr>
          <w:sz w:val="22"/>
          <w:szCs w:val="22"/>
          <w:lang w:eastAsia="en-US"/>
        </w:rPr>
        <w:t xml:space="preserve"> </w:t>
      </w:r>
      <w:r w:rsidR="00BC3557" w:rsidRPr="00BC3557">
        <w:rPr>
          <w:sz w:val="22"/>
          <w:szCs w:val="22"/>
          <w:lang w:eastAsia="en-US"/>
        </w:rPr>
        <w:t>αυτά</w:t>
      </w:r>
      <w:r w:rsidR="009A3FCF" w:rsidRPr="00330629">
        <w:rPr>
          <w:rFonts w:hint="eastAsia"/>
          <w:sz w:val="22"/>
          <w:szCs w:val="22"/>
          <w:lang w:eastAsia="en-US"/>
        </w:rPr>
        <w:t>́</w:t>
      </w:r>
      <w:r w:rsidR="009A3FCF" w:rsidRPr="00330629">
        <w:rPr>
          <w:sz w:val="22"/>
          <w:szCs w:val="22"/>
          <w:lang w:eastAsia="en-US"/>
        </w:rPr>
        <w:t xml:space="preserve"> </w:t>
      </w:r>
      <w:r w:rsidR="00BC3557" w:rsidRPr="00BC3557">
        <w:rPr>
          <w:sz w:val="22"/>
          <w:szCs w:val="22"/>
          <w:lang w:eastAsia="en-US"/>
        </w:rPr>
        <w:t>περιγράφονται</w:t>
      </w:r>
      <w:r w:rsidR="009A3FCF" w:rsidRPr="00330629">
        <w:rPr>
          <w:sz w:val="22"/>
          <w:szCs w:val="22"/>
          <w:lang w:eastAsia="en-US"/>
        </w:rPr>
        <w:t xml:space="preserve"> </w:t>
      </w:r>
      <w:proofErr w:type="spellStart"/>
      <w:r w:rsidR="009A3FCF" w:rsidRPr="00330629">
        <w:rPr>
          <w:rFonts w:hint="eastAsia"/>
          <w:sz w:val="22"/>
          <w:szCs w:val="22"/>
          <w:lang w:eastAsia="en-US"/>
        </w:rPr>
        <w:t>αναλυτικα</w:t>
      </w:r>
      <w:proofErr w:type="spellEnd"/>
      <w:r w:rsidR="009A3FCF" w:rsidRPr="00330629">
        <w:rPr>
          <w:rFonts w:hint="eastAsia"/>
          <w:sz w:val="22"/>
          <w:szCs w:val="22"/>
          <w:lang w:eastAsia="en-US"/>
        </w:rPr>
        <w:t>́</w:t>
      </w:r>
      <w:r w:rsidR="009A3FCF" w:rsidRPr="00330629">
        <w:rPr>
          <w:sz w:val="22"/>
          <w:szCs w:val="22"/>
          <w:lang w:eastAsia="en-US"/>
        </w:rPr>
        <w:t xml:space="preserve"> </w:t>
      </w:r>
      <w:r w:rsidR="009A3FCF" w:rsidRPr="00330629">
        <w:rPr>
          <w:rFonts w:hint="eastAsia"/>
          <w:sz w:val="22"/>
          <w:szCs w:val="22"/>
          <w:lang w:eastAsia="en-US"/>
        </w:rPr>
        <w:t>στα</w:t>
      </w:r>
      <w:r w:rsidR="009A3FCF" w:rsidRPr="00330629">
        <w:rPr>
          <w:sz w:val="22"/>
          <w:szCs w:val="22"/>
          <w:lang w:eastAsia="en-US"/>
        </w:rPr>
        <w:t xml:space="preserve"> </w:t>
      </w:r>
      <w:proofErr w:type="spellStart"/>
      <w:r w:rsidR="009A3FCF" w:rsidRPr="00330629">
        <w:rPr>
          <w:rFonts w:hint="eastAsia"/>
          <w:sz w:val="22"/>
          <w:szCs w:val="22"/>
          <w:lang w:eastAsia="en-US"/>
        </w:rPr>
        <w:t>πεδία</w:t>
      </w:r>
      <w:proofErr w:type="spellEnd"/>
      <w:r w:rsidR="009A3FCF" w:rsidRPr="00330629">
        <w:rPr>
          <w:sz w:val="22"/>
          <w:szCs w:val="22"/>
          <w:lang w:eastAsia="en-US"/>
        </w:rPr>
        <w:t xml:space="preserve"> 1 </w:t>
      </w:r>
      <w:proofErr w:type="spellStart"/>
      <w:r w:rsidR="009A3FCF" w:rsidRPr="00330629">
        <w:rPr>
          <w:rFonts w:hint="eastAsia"/>
          <w:sz w:val="22"/>
          <w:szCs w:val="22"/>
          <w:lang w:eastAsia="en-US"/>
        </w:rPr>
        <w:t>έως</w:t>
      </w:r>
      <w:proofErr w:type="spellEnd"/>
      <w:r w:rsidR="009A3FCF" w:rsidRPr="00330629">
        <w:rPr>
          <w:sz w:val="22"/>
          <w:szCs w:val="22"/>
          <w:lang w:eastAsia="en-US"/>
        </w:rPr>
        <w:t xml:space="preserve"> 21 </w:t>
      </w:r>
      <w:r w:rsidR="009A3FCF" w:rsidRPr="00330629">
        <w:rPr>
          <w:rFonts w:hint="eastAsia"/>
          <w:sz w:val="22"/>
          <w:szCs w:val="22"/>
          <w:lang w:eastAsia="en-US"/>
        </w:rPr>
        <w:t>του</w:t>
      </w:r>
      <w:r w:rsidR="009A3FCF" w:rsidRPr="00330629">
        <w:rPr>
          <w:sz w:val="22"/>
          <w:szCs w:val="22"/>
          <w:lang w:eastAsia="en-US"/>
        </w:rPr>
        <w:t xml:space="preserve"> Παραρτήματος </w:t>
      </w:r>
      <w:r w:rsidR="009A3FCF" w:rsidRPr="00330629">
        <w:rPr>
          <w:rFonts w:hint="eastAsia"/>
          <w:sz w:val="22"/>
          <w:szCs w:val="22"/>
          <w:lang w:eastAsia="en-US"/>
        </w:rPr>
        <w:t>της</w:t>
      </w:r>
      <w:r w:rsidR="009A3FCF" w:rsidRPr="00330629">
        <w:rPr>
          <w:sz w:val="22"/>
          <w:szCs w:val="22"/>
          <w:lang w:eastAsia="en-US"/>
        </w:rPr>
        <w:t xml:space="preserve"> </w:t>
      </w:r>
      <w:proofErr w:type="spellStart"/>
      <w:r w:rsidR="009A3FCF" w:rsidRPr="00330629">
        <w:rPr>
          <w:rFonts w:eastAsia="Calibri" w:cs="Tahoma"/>
          <w:sz w:val="22"/>
          <w:szCs w:val="22"/>
        </w:rPr>
        <w:t>υπ.αριθμ</w:t>
      </w:r>
      <w:proofErr w:type="spellEnd"/>
      <w:r w:rsidR="009A3FCF" w:rsidRPr="00330629">
        <w:rPr>
          <w:rFonts w:eastAsia="Calibri" w:cs="Tahoma"/>
          <w:sz w:val="22"/>
          <w:szCs w:val="22"/>
        </w:rPr>
        <w:t>. 517 ΕΞ 2025 απόφαση</w:t>
      </w:r>
      <w:r w:rsidR="009A3FCF">
        <w:rPr>
          <w:rFonts w:eastAsia="Calibri" w:cs="Tahoma"/>
          <w:sz w:val="22"/>
          <w:szCs w:val="22"/>
        </w:rPr>
        <w:t>ς</w:t>
      </w:r>
      <w:r w:rsidR="009A3FCF" w:rsidRPr="00330629">
        <w:rPr>
          <w:rFonts w:eastAsia="Calibri" w:cs="Tahoma"/>
          <w:sz w:val="22"/>
          <w:szCs w:val="22"/>
        </w:rPr>
        <w:t xml:space="preserve"> «Καθορισμός πρότυπου Μητρώου Κινδύνων και παροχή οδηγιών σχετικά με τον τρόπο τήρησης και </w:t>
      </w:r>
      <w:proofErr w:type="spellStart"/>
      <w:r w:rsidR="009A3FCF" w:rsidRPr="00330629">
        <w:rPr>
          <w:rFonts w:eastAsia="Calibri" w:cs="Tahoma"/>
          <w:sz w:val="22"/>
          <w:szCs w:val="22"/>
        </w:rPr>
        <w:t>επικαιροποίησής</w:t>
      </w:r>
      <w:proofErr w:type="spellEnd"/>
      <w:r w:rsidR="009A3FCF" w:rsidRPr="00330629">
        <w:rPr>
          <w:rFonts w:eastAsia="Calibri" w:cs="Tahoma"/>
          <w:sz w:val="22"/>
          <w:szCs w:val="22"/>
        </w:rPr>
        <w:t xml:space="preserve"> του σύμφωνα με την παρ. 3 του άρθρου 22Η του ν. 4795/2021» (ΦΕΚ Β’ 5335/06.10.205)</w:t>
      </w:r>
      <w:r w:rsidR="009A3FCF">
        <w:rPr>
          <w:rFonts w:eastAsia="Calibri" w:cs="Tahoma"/>
          <w:sz w:val="22"/>
          <w:szCs w:val="22"/>
        </w:rPr>
        <w:t xml:space="preserve">, </w:t>
      </w:r>
      <w:proofErr w:type="spellStart"/>
      <w:r w:rsidR="009A3FCF" w:rsidRPr="00330629">
        <w:rPr>
          <w:rFonts w:hint="eastAsia"/>
          <w:sz w:val="22"/>
          <w:szCs w:val="22"/>
          <w:lang w:eastAsia="en-US"/>
        </w:rPr>
        <w:t>διακριτα</w:t>
      </w:r>
      <w:proofErr w:type="spellEnd"/>
      <w:r w:rsidR="009A3FCF" w:rsidRPr="00330629">
        <w:rPr>
          <w:rFonts w:hint="eastAsia"/>
          <w:sz w:val="22"/>
          <w:szCs w:val="22"/>
          <w:lang w:eastAsia="en-US"/>
        </w:rPr>
        <w:t>́</w:t>
      </w:r>
      <w:r w:rsidR="009A3FCF" w:rsidRPr="00330629">
        <w:rPr>
          <w:sz w:val="22"/>
          <w:szCs w:val="22"/>
          <w:lang w:eastAsia="en-US"/>
        </w:rPr>
        <w:t xml:space="preserve"> </w:t>
      </w:r>
      <w:proofErr w:type="spellStart"/>
      <w:r w:rsidR="009A3FCF" w:rsidRPr="00330629">
        <w:rPr>
          <w:rFonts w:hint="eastAsia"/>
          <w:sz w:val="22"/>
          <w:szCs w:val="22"/>
          <w:lang w:eastAsia="en-US"/>
        </w:rPr>
        <w:t>ανα</w:t>
      </w:r>
      <w:proofErr w:type="spellEnd"/>
      <w:r w:rsidR="009A3FCF" w:rsidRPr="00330629">
        <w:rPr>
          <w:rFonts w:hint="eastAsia"/>
          <w:sz w:val="22"/>
          <w:szCs w:val="22"/>
          <w:lang w:eastAsia="en-US"/>
        </w:rPr>
        <w:t>́</w:t>
      </w:r>
      <w:r w:rsidR="009A3FCF" w:rsidRPr="00330629">
        <w:rPr>
          <w:sz w:val="22"/>
          <w:szCs w:val="22"/>
          <w:lang w:eastAsia="en-US"/>
        </w:rPr>
        <w:t xml:space="preserve"> </w:t>
      </w:r>
      <w:proofErr w:type="spellStart"/>
      <w:r w:rsidR="009A3FCF" w:rsidRPr="00330629">
        <w:rPr>
          <w:rFonts w:hint="eastAsia"/>
          <w:sz w:val="22"/>
          <w:szCs w:val="22"/>
          <w:lang w:eastAsia="en-US"/>
        </w:rPr>
        <w:t>Γενικη</w:t>
      </w:r>
      <w:proofErr w:type="spellEnd"/>
      <w:r w:rsidR="009A3FCF" w:rsidRPr="00330629">
        <w:rPr>
          <w:rFonts w:hint="eastAsia"/>
          <w:sz w:val="22"/>
          <w:szCs w:val="22"/>
          <w:lang w:eastAsia="en-US"/>
        </w:rPr>
        <w:t>́</w:t>
      </w:r>
      <w:r w:rsidR="009A3FCF" w:rsidRPr="00330629">
        <w:rPr>
          <w:sz w:val="22"/>
          <w:szCs w:val="22"/>
          <w:lang w:eastAsia="en-US"/>
        </w:rPr>
        <w:t xml:space="preserve"> </w:t>
      </w:r>
      <w:r w:rsidR="00BC3557" w:rsidRPr="00BC3557">
        <w:rPr>
          <w:sz w:val="22"/>
          <w:szCs w:val="22"/>
          <w:lang w:eastAsia="en-US"/>
        </w:rPr>
        <w:t>Διεύθυνση</w:t>
      </w:r>
      <w:r w:rsidR="009A3FCF" w:rsidRPr="00330629">
        <w:rPr>
          <w:sz w:val="22"/>
          <w:szCs w:val="22"/>
          <w:lang w:eastAsia="en-US"/>
        </w:rPr>
        <w:t xml:space="preserve"> </w:t>
      </w:r>
      <w:r w:rsidR="009A3FCF" w:rsidRPr="00330629">
        <w:rPr>
          <w:rFonts w:hint="eastAsia"/>
          <w:sz w:val="22"/>
          <w:szCs w:val="22"/>
          <w:lang w:eastAsia="en-US"/>
        </w:rPr>
        <w:t>ή</w:t>
      </w:r>
      <w:r w:rsidR="009A3FCF" w:rsidRPr="00330629">
        <w:rPr>
          <w:sz w:val="22"/>
          <w:szCs w:val="22"/>
          <w:lang w:eastAsia="en-US"/>
        </w:rPr>
        <w:t xml:space="preserve"> </w:t>
      </w:r>
      <w:r w:rsidR="009A3FCF" w:rsidRPr="00330629">
        <w:rPr>
          <w:rFonts w:hint="eastAsia"/>
          <w:sz w:val="22"/>
          <w:szCs w:val="22"/>
          <w:lang w:eastAsia="en-US"/>
        </w:rPr>
        <w:t>Διεύθυνση</w:t>
      </w:r>
      <w:r w:rsidR="009A3FCF" w:rsidRPr="00330629">
        <w:rPr>
          <w:sz w:val="22"/>
          <w:szCs w:val="22"/>
          <w:lang w:eastAsia="en-US"/>
        </w:rPr>
        <w:t xml:space="preserve"> </w:t>
      </w:r>
      <w:r w:rsidR="009A3FCF" w:rsidRPr="00330629">
        <w:rPr>
          <w:rFonts w:hint="eastAsia"/>
          <w:sz w:val="22"/>
          <w:szCs w:val="22"/>
          <w:lang w:eastAsia="en-US"/>
        </w:rPr>
        <w:t>στις</w:t>
      </w:r>
      <w:r w:rsidR="009A3FCF" w:rsidRPr="00330629">
        <w:rPr>
          <w:sz w:val="22"/>
          <w:szCs w:val="22"/>
          <w:lang w:eastAsia="en-US"/>
        </w:rPr>
        <w:t xml:space="preserve"> </w:t>
      </w:r>
      <w:r w:rsidR="009A3FCF" w:rsidRPr="00330629">
        <w:rPr>
          <w:rFonts w:hint="eastAsia"/>
          <w:sz w:val="22"/>
          <w:szCs w:val="22"/>
          <w:lang w:eastAsia="en-US"/>
        </w:rPr>
        <w:t>περιπτώσεις</w:t>
      </w:r>
      <w:r w:rsidR="009A3FCF" w:rsidRPr="00330629">
        <w:rPr>
          <w:sz w:val="22"/>
          <w:szCs w:val="22"/>
          <w:lang w:eastAsia="en-US"/>
        </w:rPr>
        <w:t xml:space="preserve"> </w:t>
      </w:r>
      <w:r w:rsidR="009A3FCF" w:rsidRPr="00330629">
        <w:rPr>
          <w:rFonts w:hint="eastAsia"/>
          <w:sz w:val="22"/>
          <w:szCs w:val="22"/>
          <w:lang w:eastAsia="en-US"/>
        </w:rPr>
        <w:t>που</w:t>
      </w:r>
      <w:r w:rsidR="009A3FCF" w:rsidRPr="00330629">
        <w:rPr>
          <w:sz w:val="22"/>
          <w:szCs w:val="22"/>
          <w:lang w:eastAsia="en-US"/>
        </w:rPr>
        <w:t xml:space="preserve"> </w:t>
      </w:r>
      <w:r w:rsidR="009A3FCF" w:rsidRPr="00330629">
        <w:rPr>
          <w:rFonts w:hint="eastAsia"/>
          <w:sz w:val="22"/>
          <w:szCs w:val="22"/>
          <w:lang w:eastAsia="en-US"/>
        </w:rPr>
        <w:t>δεν</w:t>
      </w:r>
      <w:r w:rsidR="009A3FCF" w:rsidRPr="00330629">
        <w:rPr>
          <w:sz w:val="22"/>
          <w:szCs w:val="22"/>
          <w:lang w:eastAsia="en-US"/>
        </w:rPr>
        <w:t xml:space="preserve"> </w:t>
      </w:r>
      <w:r w:rsidR="009A3FCF" w:rsidRPr="00330629">
        <w:rPr>
          <w:rFonts w:hint="eastAsia"/>
          <w:sz w:val="22"/>
          <w:szCs w:val="22"/>
          <w:lang w:eastAsia="en-US"/>
        </w:rPr>
        <w:t>υφίσταται</w:t>
      </w:r>
      <w:r w:rsidR="009A3FCF" w:rsidRPr="00330629">
        <w:rPr>
          <w:sz w:val="22"/>
          <w:szCs w:val="22"/>
          <w:lang w:eastAsia="en-US"/>
        </w:rPr>
        <w:t xml:space="preserve"> </w:t>
      </w:r>
      <w:r w:rsidR="009A3FCF" w:rsidRPr="00330629">
        <w:rPr>
          <w:rFonts w:hint="eastAsia"/>
          <w:sz w:val="22"/>
          <w:szCs w:val="22"/>
          <w:lang w:eastAsia="en-US"/>
        </w:rPr>
        <w:t>Γενική</w:t>
      </w:r>
      <w:r w:rsidR="009A3FCF" w:rsidRPr="00330629">
        <w:rPr>
          <w:sz w:val="22"/>
          <w:szCs w:val="22"/>
          <w:lang w:eastAsia="en-US"/>
        </w:rPr>
        <w:t xml:space="preserve"> </w:t>
      </w:r>
      <w:r w:rsidR="009A3FCF" w:rsidRPr="00330629">
        <w:rPr>
          <w:rFonts w:hint="eastAsia"/>
          <w:sz w:val="22"/>
          <w:szCs w:val="22"/>
          <w:lang w:eastAsia="en-US"/>
        </w:rPr>
        <w:t>Διεύθυνση</w:t>
      </w:r>
      <w:r w:rsidR="009A3FCF" w:rsidRPr="00330629">
        <w:rPr>
          <w:sz w:val="22"/>
          <w:szCs w:val="22"/>
          <w:lang w:eastAsia="en-US"/>
        </w:rPr>
        <w:t xml:space="preserve"> </w:t>
      </w:r>
      <w:r w:rsidR="009A3FCF" w:rsidRPr="00330629">
        <w:rPr>
          <w:rFonts w:hint="eastAsia"/>
          <w:sz w:val="22"/>
          <w:szCs w:val="22"/>
          <w:lang w:eastAsia="en-US"/>
        </w:rPr>
        <w:t>ή</w:t>
      </w:r>
      <w:r w:rsidR="009A3FCF" w:rsidRPr="00330629">
        <w:rPr>
          <w:sz w:val="22"/>
          <w:szCs w:val="22"/>
          <w:lang w:eastAsia="en-US"/>
        </w:rPr>
        <w:t xml:space="preserve"> </w:t>
      </w:r>
      <w:r w:rsidR="009A3FCF" w:rsidRPr="00330629">
        <w:rPr>
          <w:rFonts w:hint="eastAsia"/>
          <w:sz w:val="22"/>
          <w:szCs w:val="22"/>
          <w:lang w:eastAsia="en-US"/>
        </w:rPr>
        <w:t>αυτοτελή</w:t>
      </w:r>
      <w:r w:rsidR="009A3FCF" w:rsidRPr="00330629">
        <w:rPr>
          <w:sz w:val="22"/>
          <w:szCs w:val="22"/>
          <w:lang w:eastAsia="en-US"/>
        </w:rPr>
        <w:t xml:space="preserve"> </w:t>
      </w:r>
      <w:r w:rsidR="009A3FCF" w:rsidRPr="00330629">
        <w:rPr>
          <w:rFonts w:hint="eastAsia"/>
          <w:sz w:val="22"/>
          <w:szCs w:val="22"/>
          <w:lang w:eastAsia="en-US"/>
        </w:rPr>
        <w:t>οργανική</w:t>
      </w:r>
      <w:r w:rsidR="009A3FCF" w:rsidRPr="00330629">
        <w:rPr>
          <w:sz w:val="22"/>
          <w:szCs w:val="22"/>
          <w:lang w:eastAsia="en-US"/>
        </w:rPr>
        <w:t xml:space="preserve"> </w:t>
      </w:r>
      <w:r w:rsidR="009A3FCF" w:rsidRPr="00330629">
        <w:rPr>
          <w:rFonts w:hint="eastAsia"/>
          <w:sz w:val="22"/>
          <w:szCs w:val="22"/>
          <w:lang w:eastAsia="en-US"/>
        </w:rPr>
        <w:t>μονάδα</w:t>
      </w:r>
      <w:r w:rsidR="009A3FCF" w:rsidRPr="00330629">
        <w:rPr>
          <w:sz w:val="22"/>
          <w:szCs w:val="22"/>
          <w:lang w:eastAsia="en-US"/>
        </w:rPr>
        <w:t xml:space="preserve"> </w:t>
      </w:r>
      <w:r w:rsidR="009A3FCF" w:rsidRPr="00330629">
        <w:rPr>
          <w:rFonts w:hint="eastAsia"/>
          <w:sz w:val="22"/>
          <w:szCs w:val="22"/>
          <w:lang w:eastAsia="en-US"/>
        </w:rPr>
        <w:t>μη</w:t>
      </w:r>
      <w:r w:rsidR="009A3FCF" w:rsidRPr="00330629">
        <w:rPr>
          <w:sz w:val="22"/>
          <w:szCs w:val="22"/>
          <w:lang w:eastAsia="en-US"/>
        </w:rPr>
        <w:t xml:space="preserve"> </w:t>
      </w:r>
      <w:r w:rsidR="009A3FCF" w:rsidRPr="00330629">
        <w:rPr>
          <w:rFonts w:hint="eastAsia"/>
          <w:sz w:val="22"/>
          <w:szCs w:val="22"/>
          <w:lang w:eastAsia="en-US"/>
        </w:rPr>
        <w:t>υπαγόμενη</w:t>
      </w:r>
      <w:r w:rsidR="009A3FCF" w:rsidRPr="00330629">
        <w:rPr>
          <w:sz w:val="22"/>
          <w:szCs w:val="22"/>
          <w:lang w:eastAsia="en-US"/>
        </w:rPr>
        <w:t xml:space="preserve"> </w:t>
      </w:r>
      <w:r w:rsidR="009A3FCF" w:rsidRPr="00330629">
        <w:rPr>
          <w:rFonts w:hint="eastAsia"/>
          <w:sz w:val="22"/>
          <w:szCs w:val="22"/>
          <w:lang w:eastAsia="en-US"/>
        </w:rPr>
        <w:t>σε</w:t>
      </w:r>
      <w:r w:rsidR="009A3FCF" w:rsidRPr="00330629">
        <w:rPr>
          <w:sz w:val="22"/>
          <w:szCs w:val="22"/>
          <w:lang w:eastAsia="en-US"/>
        </w:rPr>
        <w:t xml:space="preserve"> </w:t>
      </w:r>
      <w:r w:rsidR="009A3FCF" w:rsidRPr="00330629">
        <w:rPr>
          <w:rFonts w:hint="eastAsia"/>
          <w:sz w:val="22"/>
          <w:szCs w:val="22"/>
          <w:lang w:eastAsia="en-US"/>
        </w:rPr>
        <w:t>Γενική</w:t>
      </w:r>
      <w:r w:rsidR="009A3FCF" w:rsidRPr="00330629">
        <w:rPr>
          <w:sz w:val="22"/>
          <w:szCs w:val="22"/>
          <w:lang w:eastAsia="en-US"/>
        </w:rPr>
        <w:t xml:space="preserve"> </w:t>
      </w:r>
      <w:r w:rsidR="009A3FCF" w:rsidRPr="00330629">
        <w:rPr>
          <w:rFonts w:hint="eastAsia"/>
          <w:sz w:val="22"/>
          <w:szCs w:val="22"/>
          <w:lang w:eastAsia="en-US"/>
        </w:rPr>
        <w:t>Διεύθυνση</w:t>
      </w:r>
      <w:r w:rsidR="009A3FCF" w:rsidRPr="00330629">
        <w:rPr>
          <w:sz w:val="22"/>
          <w:szCs w:val="22"/>
          <w:lang w:eastAsia="en-US"/>
        </w:rPr>
        <w:t>.</w:t>
      </w:r>
    </w:p>
    <w:p w:rsidR="009A3FCF" w:rsidRDefault="009A3FCF">
      <w:pPr>
        <w:spacing w:before="0" w:after="0" w:line="360" w:lineRule="auto"/>
        <w:rPr>
          <w:b/>
          <w:bCs/>
          <w:sz w:val="22"/>
          <w:szCs w:val="22"/>
          <w:lang w:eastAsia="en-US"/>
        </w:rPr>
      </w:pPr>
    </w:p>
    <w:p w:rsidR="007710AB" w:rsidRDefault="00000000">
      <w:pPr>
        <w:spacing w:before="0" w:after="0" w:line="360" w:lineRule="auto"/>
        <w:rPr>
          <w:sz w:val="22"/>
          <w:szCs w:val="22"/>
          <w:lang w:eastAsia="en-US"/>
        </w:rPr>
      </w:pPr>
      <w:r>
        <w:rPr>
          <w:b/>
          <w:bCs/>
          <w:sz w:val="22"/>
          <w:szCs w:val="22"/>
          <w:lang w:eastAsia="en-US"/>
        </w:rPr>
        <w:t xml:space="preserve">Δ. Σύνταξη περιοδικής αναφοράς </w:t>
      </w:r>
      <w:r w:rsidR="009A3FCF">
        <w:rPr>
          <w:b/>
          <w:bCs/>
          <w:sz w:val="22"/>
          <w:szCs w:val="22"/>
          <w:lang w:eastAsia="en-US"/>
        </w:rPr>
        <w:t xml:space="preserve">διαχείρισης κινδύνων </w:t>
      </w:r>
      <w:r>
        <w:rPr>
          <w:b/>
          <w:bCs/>
          <w:sz w:val="22"/>
          <w:szCs w:val="22"/>
          <w:lang w:eastAsia="en-US"/>
        </w:rPr>
        <w:t>προς τον επικεφαλής του φορέα</w:t>
      </w:r>
      <w:r>
        <w:rPr>
          <w:sz w:val="22"/>
          <w:szCs w:val="22"/>
          <w:lang w:eastAsia="en-US"/>
        </w:rPr>
        <w:t xml:space="preserve"> σχετικά με τους κινδύνους στους οποίους είναι εκτεθειμένος ο φορέας.</w:t>
      </w:r>
    </w:p>
    <w:p w:rsidR="007710AB" w:rsidRDefault="007710AB">
      <w:pPr>
        <w:spacing w:before="0" w:after="0" w:line="360" w:lineRule="auto"/>
        <w:rPr>
          <w:sz w:val="22"/>
          <w:szCs w:val="22"/>
          <w:lang w:eastAsia="en-US"/>
        </w:rPr>
      </w:pPr>
    </w:p>
    <w:p w:rsidR="007710AB" w:rsidRDefault="00000000">
      <w:pPr>
        <w:spacing w:before="0" w:after="0" w:line="360" w:lineRule="auto"/>
        <w:rPr>
          <w:sz w:val="22"/>
          <w:szCs w:val="22"/>
          <w:lang w:eastAsia="en-US"/>
        </w:rPr>
      </w:pPr>
      <w:r>
        <w:rPr>
          <w:b/>
          <w:bCs/>
          <w:sz w:val="22"/>
          <w:szCs w:val="22"/>
          <w:lang w:eastAsia="en-US"/>
        </w:rPr>
        <w:t>Ε. Σύνταξη και υποβολή ετήσιας έκθεσης</w:t>
      </w:r>
      <w:r>
        <w:rPr>
          <w:sz w:val="22"/>
          <w:szCs w:val="22"/>
          <w:lang w:eastAsia="en-US"/>
        </w:rPr>
        <w:t xml:space="preserve"> </w:t>
      </w:r>
      <w:r w:rsidR="009A3FCF" w:rsidRPr="00330629">
        <w:rPr>
          <w:b/>
          <w:bCs/>
          <w:sz w:val="22"/>
          <w:szCs w:val="22"/>
          <w:lang w:eastAsia="en-US"/>
        </w:rPr>
        <w:t>διαχείρισης κινδύνων</w:t>
      </w:r>
      <w:r w:rsidR="009A3FCF">
        <w:rPr>
          <w:sz w:val="22"/>
          <w:szCs w:val="22"/>
          <w:lang w:eastAsia="en-US"/>
        </w:rPr>
        <w:t xml:space="preserve"> </w:t>
      </w:r>
      <w:r>
        <w:rPr>
          <w:sz w:val="22"/>
          <w:szCs w:val="22"/>
          <w:lang w:eastAsia="en-US"/>
        </w:rPr>
        <w:t>προς τον επικεφαλής του φορέα, με κοινοποίηση στην Εθνική Αρχή Διαφάνειας</w:t>
      </w:r>
      <w:r w:rsidR="00330629">
        <w:rPr>
          <w:sz w:val="22"/>
          <w:szCs w:val="22"/>
          <w:lang w:eastAsia="en-US"/>
        </w:rPr>
        <w:t>.</w:t>
      </w:r>
    </w:p>
    <w:bookmarkEnd w:id="0"/>
    <w:p w:rsidR="007710AB" w:rsidRPr="00330629" w:rsidRDefault="007710AB">
      <w:pPr>
        <w:jc w:val="center"/>
        <w:rPr>
          <w:rFonts w:ascii="Times New Roman" w:hAnsi="Times New Roman"/>
        </w:rPr>
      </w:pPr>
    </w:p>
    <w:sectPr w:rsidR="007710AB" w:rsidRPr="00330629">
      <w:footerReference w:type="default" r:id="rId8"/>
      <w:pgSz w:w="11906" w:h="16838"/>
      <w:pgMar w:top="1135"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95B" w:rsidRDefault="0057395B">
      <w:pPr>
        <w:spacing w:line="240" w:lineRule="auto"/>
      </w:pPr>
      <w:r>
        <w:separator/>
      </w:r>
    </w:p>
  </w:endnote>
  <w:endnote w:type="continuationSeparator" w:id="0">
    <w:p w:rsidR="0057395B" w:rsidRDefault="00573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0331"/>
    </w:sdtPr>
    <w:sdtContent>
      <w:p w:rsidR="007710AB" w:rsidRDefault="00000000">
        <w:pPr>
          <w:pStyle w:val="Footer"/>
          <w:jc w:val="center"/>
        </w:pPr>
        <w:r>
          <w:fldChar w:fldCharType="begin"/>
        </w:r>
        <w:r>
          <w:instrText>PAGE   \* MERGEFORMAT</w:instrText>
        </w:r>
        <w:r>
          <w:fldChar w:fldCharType="separate"/>
        </w:r>
        <w:r>
          <w:t>20</w:t>
        </w:r>
        <w:r>
          <w:fldChar w:fldCharType="end"/>
        </w:r>
      </w:p>
    </w:sdtContent>
  </w:sdt>
  <w:p w:rsidR="007710AB" w:rsidRDefault="00771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95B" w:rsidRDefault="0057395B">
      <w:pPr>
        <w:spacing w:before="0" w:after="0" w:line="240" w:lineRule="auto"/>
      </w:pPr>
      <w:r>
        <w:separator/>
      </w:r>
    </w:p>
  </w:footnote>
  <w:footnote w:type="continuationSeparator" w:id="0">
    <w:p w:rsidR="0057395B" w:rsidRDefault="0057395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4C5"/>
    <w:multiLevelType w:val="multilevel"/>
    <w:tmpl w:val="045B34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C409D"/>
    <w:multiLevelType w:val="multilevel"/>
    <w:tmpl w:val="293C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5A1241"/>
    <w:multiLevelType w:val="multilevel"/>
    <w:tmpl w:val="1E5A1241"/>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293C21A4"/>
    <w:multiLevelType w:val="multilevel"/>
    <w:tmpl w:val="293C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E63AAB"/>
    <w:multiLevelType w:val="multilevel"/>
    <w:tmpl w:val="4DE63AAB"/>
    <w:lvl w:ilvl="0">
      <w:start w:val="1"/>
      <w:numFmt w:val="decimal"/>
      <w:lvlText w:val="%1."/>
      <w:lvlJc w:val="left"/>
      <w:pPr>
        <w:ind w:left="1290" w:hanging="57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DBD638B"/>
    <w:multiLevelType w:val="multilevel"/>
    <w:tmpl w:val="5DBD638B"/>
    <w:lvl w:ilvl="0">
      <w:start w:val="1"/>
      <w:numFmt w:val="decimal"/>
      <w:lvlText w:val="%1."/>
      <w:lvlJc w:val="left"/>
      <w:pPr>
        <w:ind w:left="360" w:hanging="360"/>
      </w:pPr>
      <w:rPr>
        <w:rFonts w:ascii="Tahoma" w:hAnsi="Tahoma" w:cs="Tahoma" w:hint="default"/>
        <w:b/>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DE5247"/>
    <w:multiLevelType w:val="multilevel"/>
    <w:tmpl w:val="61DE52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DA1"/>
    <w:multiLevelType w:val="multilevel"/>
    <w:tmpl w:val="293C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3858098">
    <w:abstractNumId w:val="5"/>
  </w:num>
  <w:num w:numId="2" w16cid:durableId="1516263970">
    <w:abstractNumId w:val="3"/>
  </w:num>
  <w:num w:numId="3" w16cid:durableId="114178507">
    <w:abstractNumId w:val="0"/>
  </w:num>
  <w:num w:numId="4" w16cid:durableId="636301234">
    <w:abstractNumId w:val="6"/>
  </w:num>
  <w:num w:numId="5" w16cid:durableId="1210458790">
    <w:abstractNumId w:val="2"/>
  </w:num>
  <w:num w:numId="6" w16cid:durableId="848955880">
    <w:abstractNumId w:val="4"/>
  </w:num>
  <w:num w:numId="7" w16cid:durableId="2096048353">
    <w:abstractNumId w:val="1"/>
  </w:num>
  <w:num w:numId="8" w16cid:durableId="1734349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CD"/>
    <w:rsid w:val="00121F92"/>
    <w:rsid w:val="00183202"/>
    <w:rsid w:val="001F64CD"/>
    <w:rsid w:val="00246A37"/>
    <w:rsid w:val="002673A0"/>
    <w:rsid w:val="00330629"/>
    <w:rsid w:val="003861C2"/>
    <w:rsid w:val="004635EF"/>
    <w:rsid w:val="0057395B"/>
    <w:rsid w:val="006D3192"/>
    <w:rsid w:val="006E02E2"/>
    <w:rsid w:val="00746248"/>
    <w:rsid w:val="00755454"/>
    <w:rsid w:val="007710AB"/>
    <w:rsid w:val="00797471"/>
    <w:rsid w:val="00842543"/>
    <w:rsid w:val="009A3FCF"/>
    <w:rsid w:val="00A00E38"/>
    <w:rsid w:val="00A0134F"/>
    <w:rsid w:val="00A21094"/>
    <w:rsid w:val="00B46239"/>
    <w:rsid w:val="00BC3557"/>
    <w:rsid w:val="00C0609A"/>
    <w:rsid w:val="00C565B1"/>
    <w:rsid w:val="00D64359"/>
    <w:rsid w:val="00D760CD"/>
    <w:rsid w:val="00DF5F55"/>
    <w:rsid w:val="00E2586D"/>
    <w:rsid w:val="00E331B0"/>
    <w:rsid w:val="00E81AFF"/>
    <w:rsid w:val="00E958D8"/>
    <w:rsid w:val="00F46F97"/>
    <w:rsid w:val="00F603F0"/>
    <w:rsid w:val="0BED0BFE"/>
    <w:rsid w:val="58FA2B99"/>
    <w:rsid w:val="5CAA5CA4"/>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57FA7B84"/>
  <w15:docId w15:val="{F9477256-A824-1249-ABA9-15A207D3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R"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340" w:lineRule="atLeast"/>
      <w:jc w:val="both"/>
    </w:pPr>
    <w:rPr>
      <w:rFonts w:ascii="Tahoma" w:eastAsia="Times New Roman" w:hAnsi="Tahoma" w:cs="Times New Roman"/>
      <w:sz w:val="24"/>
      <w:szCs w:val="24"/>
      <w:lang w:val="el-GR" w:eastAsia="el-GR"/>
    </w:rPr>
  </w:style>
  <w:style w:type="paragraph" w:styleId="Heading1">
    <w:name w:val="heading 1"/>
    <w:basedOn w:val="Normal"/>
    <w:next w:val="Normal"/>
    <w:link w:val="Heading1Char"/>
    <w:qFormat/>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qFormat/>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Times New Roman" w:eastAsia="SimSun" w:hAnsi="Times New Roman" w:cs="Times New Roman"/>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spacing w:after="100"/>
    </w:pPr>
  </w:style>
  <w:style w:type="character" w:customStyle="1" w:styleId="Heading1Char">
    <w:name w:val="Heading 1 Char"/>
    <w:basedOn w:val="DefaultParagraphFont"/>
    <w:link w:val="Heading1"/>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1"/>
    <w:qFormat/>
    <w:pPr>
      <w:ind w:left="720"/>
      <w:contextualSpacing/>
    </w:pPr>
  </w:style>
  <w:style w:type="character" w:customStyle="1" w:styleId="1">
    <w:name w:val="Έντονη έμφαση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10">
    <w:name w:val="Έντονη αναφορά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uiPriority w:val="99"/>
    <w:qFormat/>
    <w:rPr>
      <w:rFonts w:ascii="Tahoma" w:eastAsia="Times New Roman" w:hAnsi="Tahoma" w:cs="Times New Roman"/>
      <w:kern w:val="0"/>
      <w:lang w:eastAsia="el-GR" w:bidi="ar-SA"/>
      <w14:ligatures w14:val="none"/>
    </w:rPr>
  </w:style>
  <w:style w:type="character" w:customStyle="1" w:styleId="FooterChar">
    <w:name w:val="Footer Char"/>
    <w:basedOn w:val="DefaultParagraphFont"/>
    <w:link w:val="Footer"/>
    <w:uiPriority w:val="99"/>
    <w:qFormat/>
    <w:rPr>
      <w:rFonts w:ascii="Tahoma" w:eastAsia="Times New Roman" w:hAnsi="Tahoma" w:cs="Times New Roman"/>
      <w:kern w:val="0"/>
      <w:lang w:eastAsia="el-GR" w:bidi="ar-SA"/>
      <w14:ligatures w14:val="none"/>
    </w:rPr>
  </w:style>
  <w:style w:type="paragraph" w:customStyle="1" w:styleId="Style371">
    <w:name w:val="Style371"/>
    <w:basedOn w:val="Normal"/>
    <w:qFormat/>
    <w:pPr>
      <w:spacing w:line="227" w:lineRule="exact"/>
      <w:jc w:val="center"/>
    </w:pPr>
    <w:rPr>
      <w:rFonts w:eastAsia="Tahoma" w:cs="Tahoma"/>
      <w:sz w:val="20"/>
      <w:szCs w:val="20"/>
    </w:rPr>
  </w:style>
  <w:style w:type="paragraph" w:customStyle="1" w:styleId="11">
    <w:name w:val="Βασικό1"/>
    <w:qFormat/>
    <w:pPr>
      <w:spacing w:line="276" w:lineRule="auto"/>
      <w:jc w:val="both"/>
    </w:pPr>
    <w:rPr>
      <w:rFonts w:ascii="Times New Roman" w:eastAsia="Times New Roman" w:hAnsi="Times New Roman" w:cs="Times New Roman"/>
      <w:sz w:val="24"/>
      <w:szCs w:val="24"/>
      <w:lang w:val="el-GR" w:eastAsia="el-GR"/>
    </w:rPr>
  </w:style>
  <w:style w:type="character" w:customStyle="1" w:styleId="ListParagraphChar">
    <w:name w:val="List Paragraph Char"/>
    <w:link w:val="ListParagraph"/>
    <w:uiPriority w:val="1"/>
    <w:qFormat/>
    <w:locked/>
  </w:style>
  <w:style w:type="paragraph" w:customStyle="1" w:styleId="12">
    <w:name w:val="Επικεφαλίδα ΠΠ1"/>
    <w:basedOn w:val="Heading1"/>
    <w:next w:val="Normal"/>
    <w:uiPriority w:val="39"/>
    <w:unhideWhenUsed/>
    <w:qFormat/>
    <w:pPr>
      <w:spacing w:before="240" w:after="0" w:line="259" w:lineRule="auto"/>
      <w:outlineLvl w:val="9"/>
    </w:pPr>
    <w:rPr>
      <w:sz w:val="32"/>
      <w:szCs w:val="32"/>
    </w:rPr>
  </w:style>
  <w:style w:type="paragraph" w:customStyle="1" w:styleId="13">
    <w:name w:val="Παράγραφος λίστας1"/>
    <w:basedOn w:val="Normal"/>
    <w:qFormat/>
    <w:pPr>
      <w:spacing w:before="0" w:after="200" w:line="276" w:lineRule="auto"/>
      <w:ind w:left="720"/>
      <w:contextualSpacing/>
      <w:jc w:val="left"/>
    </w:pPr>
    <w:rPr>
      <w:rFonts w:ascii="Calibri" w:eastAsia="Calibri" w:hAnsi="Calibri"/>
      <w:sz w:val="22"/>
      <w:szCs w:val="22"/>
      <w:lang w:eastAsia="en-US"/>
    </w:rPr>
  </w:style>
  <w:style w:type="character" w:customStyle="1" w:styleId="CommentTextChar">
    <w:name w:val="Comment Text Char"/>
    <w:basedOn w:val="DefaultParagraphFont"/>
    <w:link w:val="CommentText"/>
    <w:uiPriority w:val="99"/>
    <w:qFormat/>
    <w:rPr>
      <w:rFonts w:ascii="Tahoma" w:eastAsia="Times New Roman" w:hAnsi="Tahoma" w:cs="Times New Roman"/>
      <w:lang w:val="el-GR" w:eastAsia="el-GR"/>
    </w:rPr>
  </w:style>
  <w:style w:type="character" w:customStyle="1" w:styleId="CommentSubjectChar">
    <w:name w:val="Comment Subject Char"/>
    <w:basedOn w:val="CommentTextChar"/>
    <w:link w:val="CommentSubject"/>
    <w:uiPriority w:val="99"/>
    <w:semiHidden/>
    <w:rPr>
      <w:rFonts w:ascii="Tahoma" w:eastAsia="Times New Roman" w:hAnsi="Tahoma" w:cs="Times New Roman"/>
      <w:b/>
      <w:bCs/>
      <w:lang w:val="el-GR" w:eastAsia="el-GR"/>
    </w:rPr>
  </w:style>
  <w:style w:type="paragraph" w:styleId="Revision">
    <w:name w:val="Revision"/>
    <w:hidden/>
    <w:uiPriority w:val="99"/>
    <w:unhideWhenUsed/>
    <w:rsid w:val="00E958D8"/>
    <w:rPr>
      <w:rFonts w:ascii="Tahoma" w:eastAsia="Times New Roman" w:hAnsi="Tahoma"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orin.gr/laws/law/3989/n-4795-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zstergianou</dc:creator>
  <cp:lastModifiedBy>Paris Zarnakoupis</cp:lastModifiedBy>
  <cp:revision>7</cp:revision>
  <dcterms:created xsi:type="dcterms:W3CDTF">2026-03-21T15:54:00Z</dcterms:created>
  <dcterms:modified xsi:type="dcterms:W3CDTF">2026-03-21T16:10:00Z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73CDB02068A349578CD100E85AB5FF04_12</vt:lpwstr>
  </property>
</Properties>
</file>